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endnotes.xml" ContentType="application/vnd.openxmlformats-officedocument.wordprocessingml.endnote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document.xml" ContentType="application/vnd.openxmlformats-officedocument.wordprocessingml.document.glossary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="240" w:lineRule="auto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ind w:left="4536"/>
        <w:jc w:val="center"/>
        <w:spacing w:line="240" w:lineRule="auto"/>
        <w:rPr>
          <w:szCs w:val="28"/>
          <w:highlight w:val="white"/>
        </w:rPr>
      </w:pPr>
      <w:r>
        <w:rPr>
          <w:rFonts w:eastAsia="Times New Roman" w:cs="Times New Roman"/>
          <w:szCs w:val="28"/>
          <w:highlight w:val="white"/>
        </w:rPr>
        <w:t xml:space="preserve">Руководителям </w:t>
      </w:r>
      <w:r>
        <w:rPr>
          <w:szCs w:val="28"/>
          <w:highlight w:val="white"/>
        </w:rPr>
      </w:r>
    </w:p>
    <w:p>
      <w:pPr>
        <w:ind w:left="4536"/>
        <w:jc w:val="center"/>
        <w:spacing w:line="240" w:lineRule="auto"/>
        <w:rPr>
          <w:szCs w:val="28"/>
          <w:highlight w:val="white"/>
        </w:rPr>
      </w:pPr>
      <w:r>
        <w:rPr>
          <w:rFonts w:eastAsia="Times New Roman" w:cs="Times New Roman"/>
          <w:szCs w:val="28"/>
          <w:highlight w:val="white"/>
        </w:rPr>
        <w:t xml:space="preserve">саморегулируемых организаций </w:t>
      </w:r>
      <w:r>
        <w:rPr>
          <w:szCs w:val="28"/>
          <w:highlight w:val="white"/>
        </w:rPr>
      </w:r>
    </w:p>
    <w:p>
      <w:pPr>
        <w:ind w:left="4536"/>
        <w:jc w:val="center"/>
        <w:spacing w:line="240" w:lineRule="auto"/>
        <w:rPr>
          <w:szCs w:val="28"/>
          <w:highlight w:val="white"/>
        </w:rPr>
      </w:pPr>
      <w:r>
        <w:rPr>
          <w:rFonts w:eastAsia="Times New Roman" w:cs="Times New Roman"/>
          <w:szCs w:val="28"/>
          <w:highlight w:val="white"/>
        </w:rPr>
        <w:t xml:space="preserve">кадастровых инженеров </w:t>
      </w:r>
      <w:r>
        <w:rPr>
          <w:szCs w:val="28"/>
          <w:highlight w:val="white"/>
        </w:rPr>
      </w:r>
    </w:p>
    <w:p>
      <w:pPr>
        <w:ind w:left="4536"/>
        <w:jc w:val="center"/>
        <w:spacing w:line="24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  <w:highlight w:val="white"/>
        </w:rPr>
        <w:t xml:space="preserve"> (по списку)</w:t>
      </w:r>
      <w:r>
        <w:rPr>
          <w:rFonts w:eastAsia="Times New Roman" w:cs="Times New Roman"/>
          <w:szCs w:val="28"/>
        </w:rPr>
      </w:r>
    </w:p>
    <w:p>
      <w:pPr>
        <w:ind w:left="4536"/>
        <w:jc w:val="center"/>
        <w:spacing w:line="240" w:lineRule="auto"/>
        <w:rPr>
          <w:rFonts w:eastAsia="Times New Roman" w:cs="Times New Roman"/>
          <w:strike/>
          <w:sz w:val="32"/>
          <w:szCs w:val="32"/>
          <w:highlight w:val="yellow"/>
        </w:rPr>
      </w:pPr>
      <w:r>
        <w:rPr>
          <w:rFonts w:eastAsia="Times New Roman" w:cs="Times New Roman"/>
          <w:strike/>
          <w:sz w:val="32"/>
          <w:szCs w:val="32"/>
          <w:highlight w:val="yellow"/>
        </w:rPr>
      </w:r>
      <w:r>
        <w:rPr>
          <w:rFonts w:eastAsia="Times New Roman" w:cs="Times New Roman"/>
          <w:strike/>
          <w:sz w:val="32"/>
          <w:szCs w:val="32"/>
          <w:highlight w:val="yellow"/>
        </w:rPr>
      </w:r>
    </w:p>
    <w:p>
      <w:pPr>
        <w:ind w:left="4536"/>
        <w:jc w:val="center"/>
        <w:spacing w:line="240" w:lineRule="auto"/>
        <w:rPr>
          <w:highlight w:val="white"/>
        </w:rPr>
      </w:pPr>
      <w:r>
        <w:rPr>
          <w:szCs w:val="28"/>
          <w:highlight w:val="white"/>
        </w:rPr>
        <w:t xml:space="preserve">Кадастровым инженерам</w:t>
      </w:r>
      <w:r>
        <w:rPr>
          <w:highlight w:val="white"/>
        </w:rPr>
      </w:r>
    </w:p>
    <w:p>
      <w:pPr>
        <w:ind w:left="4536"/>
        <w:jc w:val="center"/>
        <w:spacing w:line="240" w:lineRule="auto"/>
        <w:rPr>
          <w:szCs w:val="28"/>
          <w:highlight w:val="white"/>
        </w:rPr>
      </w:pPr>
      <w:r>
        <w:rPr>
          <w:szCs w:val="28"/>
          <w:highlight w:val="white"/>
        </w:rPr>
        <w:t xml:space="preserve"> (по списку)  </w:t>
      </w:r>
      <w:r>
        <w:rPr>
          <w:szCs w:val="28"/>
          <w:highlight w:val="white"/>
        </w:rPr>
      </w:r>
    </w:p>
    <w:p>
      <w:pPr>
        <w:ind w:left="4536"/>
        <w:jc w:val="center"/>
        <w:spacing w:line="240" w:lineRule="auto"/>
        <w:rPr>
          <w:sz w:val="32"/>
          <w:szCs w:val="32"/>
          <w:highlight w:val="yellow"/>
        </w:rPr>
      </w:pPr>
      <w:r>
        <w:rPr>
          <w:sz w:val="32"/>
          <w:szCs w:val="32"/>
          <w:highlight w:val="yellow"/>
        </w:rPr>
      </w:r>
      <w:r>
        <w:rPr>
          <w:sz w:val="32"/>
          <w:szCs w:val="32"/>
          <w:highlight w:val="yellow"/>
        </w:rPr>
      </w:r>
    </w:p>
    <w:p>
      <w:pPr>
        <w:ind w:left="4536"/>
        <w:jc w:val="center"/>
        <w:spacing w:line="240" w:lineRule="auto"/>
        <w:rPr>
          <w:szCs w:val="28"/>
        </w:rPr>
      </w:pPr>
      <w:r>
        <w:rPr>
          <w:szCs w:val="28"/>
        </w:rPr>
        <w:t xml:space="preserve">Главам </w:t>
      </w:r>
      <w:r>
        <w:rPr>
          <w:szCs w:val="28"/>
        </w:rPr>
      </w:r>
    </w:p>
    <w:p>
      <w:pPr>
        <w:ind w:left="4536"/>
        <w:jc w:val="center"/>
        <w:spacing w:line="240" w:lineRule="auto"/>
        <w:rPr>
          <w:sz w:val="32"/>
          <w:szCs w:val="32"/>
        </w:rPr>
      </w:pPr>
      <w:r>
        <w:rPr>
          <w:szCs w:val="28"/>
        </w:rPr>
        <w:t xml:space="preserve">муниципальных образований </w:t>
      </w:r>
      <w:r>
        <w:rPr>
          <w:sz w:val="32"/>
          <w:szCs w:val="32"/>
        </w:rPr>
      </w:r>
    </w:p>
    <w:p>
      <w:pPr>
        <w:ind w:left="4536"/>
        <w:jc w:val="center"/>
        <w:spacing w:line="240" w:lineRule="auto"/>
        <w:rPr>
          <w:sz w:val="32"/>
          <w:szCs w:val="32"/>
        </w:rPr>
      </w:pPr>
      <w:r>
        <w:rPr>
          <w:szCs w:val="28"/>
        </w:rPr>
        <w:t xml:space="preserve">Амурской области</w:t>
      </w:r>
      <w:r>
        <w:rPr>
          <w:sz w:val="32"/>
          <w:szCs w:val="32"/>
        </w:rPr>
      </w:r>
    </w:p>
    <w:p>
      <w:pPr>
        <w:ind w:left="4536"/>
        <w:jc w:val="center"/>
        <w:spacing w:line="240" w:lineRule="auto"/>
        <w:rPr>
          <w:sz w:val="27"/>
          <w:szCs w:val="27"/>
        </w:rPr>
        <w:outlineLvl w:val="0"/>
      </w:pPr>
      <w:r>
        <w:rPr>
          <w:szCs w:val="28"/>
        </w:rPr>
        <w:t xml:space="preserve">(по списку) </w:t>
      </w:r>
      <w:r>
        <w:rPr>
          <w:sz w:val="27"/>
          <w:szCs w:val="27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 вопросах при осуществлении </w:t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учетно-регистрационных действий</w:t>
      </w:r>
      <w:r>
        <w:rPr>
          <w:sz w:val="24"/>
          <w:szCs w:val="24"/>
        </w:rPr>
      </w:r>
    </w:p>
    <w:p>
      <w:pPr>
        <w:ind w:firstLine="709"/>
        <w:jc w:val="both"/>
        <w:spacing w:line="240" w:lineRule="auto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</w:r>
      <w:r>
        <w:rPr>
          <w:rFonts w:cs="Times New Roman"/>
          <w:color w:val="000000"/>
          <w:szCs w:val="28"/>
        </w:rPr>
      </w:r>
    </w:p>
    <w:p>
      <w:pPr>
        <w:ind w:firstLine="709"/>
        <w:jc w:val="both"/>
        <w:spacing w:line="240" w:lineRule="auto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</w:r>
      <w:r>
        <w:rPr>
          <w:rFonts w:cs="Times New Roman"/>
          <w:color w:val="000000"/>
          <w:szCs w:val="28"/>
        </w:rPr>
      </w:r>
    </w:p>
    <w:p>
      <w:pPr>
        <w:ind w:firstLine="709"/>
        <w:jc w:val="both"/>
        <w:spacing w:line="240" w:lineRule="auto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Управление Федеральной службы государственной регистрации, кадастра и картографии по Амурской области для учета и возможного применения в работе сообщает следующее.</w:t>
      </w:r>
      <w:r>
        <w:rPr>
          <w:rFonts w:cs="Times New Roman"/>
          <w:color w:val="000000"/>
          <w:szCs w:val="28"/>
        </w:rPr>
      </w:r>
    </w:p>
    <w:p>
      <w:pPr>
        <w:ind w:firstLine="708"/>
        <w:jc w:val="both"/>
        <w:spacing w:line="240" w:lineRule="auto"/>
        <w:rPr>
          <w:rFonts w:eastAsia="Times New Roman" w:cs="Times New Roman"/>
          <w:bCs/>
          <w:i/>
          <w:color w:val="000000"/>
          <w:szCs w:val="28"/>
        </w:rPr>
      </w:pPr>
      <w:r>
        <w:rPr>
          <w:rFonts w:eastAsia="Times New Roman" w:cs="Times New Roman"/>
          <w:i/>
          <w:iCs/>
          <w:color w:val="000000"/>
          <w:szCs w:val="28"/>
          <w:highlight w:val="white"/>
        </w:rPr>
        <w:t xml:space="preserve">1. Об указании адресов в межевых/технических планах.</w:t>
      </w:r>
      <w:r>
        <w:rPr>
          <w:rFonts w:eastAsia="Times New Roman" w:cs="Times New Roman"/>
          <w:bCs/>
          <w:i/>
          <w:color w:val="000000"/>
          <w:szCs w:val="28"/>
        </w:rPr>
      </w:r>
    </w:p>
    <w:p>
      <w:pPr>
        <w:ind w:firstLine="708"/>
        <w:jc w:val="both"/>
        <w:spacing w:line="288" w:lineRule="atLeast"/>
        <w:rPr>
          <w:rFonts w:cs="Times New Roman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eastAsia="Times New Roman" w:cs="Times New Roman"/>
          <w:color w:val="000000" w:themeColor="text1"/>
          <w:szCs w:val="28"/>
          <w:highlight w:val="white"/>
        </w:rPr>
        <w:t xml:space="preserve">Действующий порядок п</w:t>
      </w:r>
      <w:r>
        <w:rPr>
          <w:rFonts w:eastAsia="Times New Roman" w:cs="Times New Roman"/>
          <w:color w:val="000000" w:themeColor="text1"/>
          <w:szCs w:val="28"/>
          <w:highlight w:val="white"/>
        </w:rPr>
        <w:t xml:space="preserve">рисвоения уполномоченными органами адресов объектам недвижимости, являющимся объектами адресации, установлен Правилами присвоения адресов, в том числе по обращениям кадастровых инженеров, направляемым в соответствии с пунктом 29 П</w:t>
      </w:r>
      <w:r>
        <w:rPr>
          <w:rFonts w:eastAsia="Times New Roman" w:cs="Times New Roman"/>
          <w:color w:val="000000"/>
          <w:szCs w:val="28"/>
          <w:highlight w:val="white"/>
        </w:rPr>
        <w:t xml:space="preserve">равил присвоения, изменени</w:t>
      </w:r>
      <w:r>
        <w:rPr>
          <w:rFonts w:eastAsia="Times New Roman" w:cs="Times New Roman"/>
          <w:color w:val="000000"/>
          <w:szCs w:val="28"/>
          <w:highlight w:val="white"/>
        </w:rPr>
        <w:t xml:space="preserve">я и аннулирования адресов, утвержденных Постановлением Правительства РФ от 19.11.2014 № 1221 (далее – Правила)</w:t>
      </w:r>
      <w:r>
        <w:rPr>
          <w:rFonts w:eastAsia="Times New Roman" w:cs="Times New Roman"/>
          <w:color w:val="000000" w:themeColor="text1"/>
          <w:szCs w:val="28"/>
          <w:highlight w:val="white"/>
        </w:rPr>
        <w:t xml:space="preserve">.</w:t>
      </w:r>
      <w:r>
        <w:rPr>
          <w:rFonts w:cs="Times New Roman"/>
          <w:szCs w:val="28"/>
          <w:highlight w:val="white"/>
        </w:rPr>
      </w:r>
    </w:p>
    <w:p>
      <w:pPr>
        <w:ind w:firstLine="720"/>
        <w:jc w:val="both"/>
        <w:rPr>
          <w:szCs w:val="28"/>
          <w:highlight w:val="white"/>
        </w:rPr>
      </w:pPr>
      <w:r>
        <w:rPr>
          <w:szCs w:val="28"/>
        </w:rPr>
        <w:t xml:space="preserve">Приказом Росреестра от 23.10.2024 № П/0328/24 «О внесении изменений в приказы Федеральной службы государственной регистрации, кадастра и картогр</w:t>
      </w:r>
      <w:r>
        <w:rPr>
          <w:szCs w:val="28"/>
        </w:rPr>
        <w:t xml:space="preserve">афии от 04.08.2021 № П/0337, от 14.12.2021 №П/0592 и от 15.03.2022 № П/0082» (далее – Приказ) он не изменялся, Приказ всего лишь упорядочил вопрос внесения сведений об адресе в ЕГРН с целью синхронизации данных с государственным адресным реест</w:t>
      </w:r>
      <w:r>
        <w:rPr>
          <w:szCs w:val="28"/>
          <w:highlight w:val="white"/>
        </w:rPr>
        <w:t xml:space="preserve">ром (далее – </w:t>
      </w:r>
      <w:r>
        <w:rPr>
          <w:szCs w:val="28"/>
          <w:highlight w:val="white"/>
        </w:rPr>
        <w:t xml:space="preserve">ГАР).</w:t>
      </w:r>
      <w:r>
        <w:rPr>
          <w:szCs w:val="28"/>
          <w:highlight w:val="white"/>
        </w:rPr>
      </w:r>
    </w:p>
    <w:p>
      <w:pPr>
        <w:ind w:firstLine="708"/>
        <w:jc w:val="both"/>
        <w:rPr>
          <w:rFonts w:eastAsia="Calibri" w:cs="Times New Roman"/>
          <w:i/>
          <w:szCs w:val="28"/>
        </w:rPr>
      </w:pPr>
      <w:r>
        <w:rPr>
          <w:rFonts w:eastAsia="Calibri" w:cs="Times New Roman"/>
          <w:szCs w:val="28"/>
          <w:lang w:eastAsia="ru-RU"/>
        </w:rPr>
        <w:t xml:space="preserve">Таким образом, порядок присвоения адресов объектам недвижимости, являющимся объектам адресации, определяется Правилами присвоения адресов и не регулируется Приказом.</w:t>
      </w:r>
      <w:r>
        <w:rPr>
          <w:rFonts w:eastAsia="Calibri" w:cs="Times New Roman"/>
          <w:i/>
          <w:szCs w:val="28"/>
        </w:rPr>
      </w:r>
    </w:p>
    <w:p>
      <w:pPr>
        <w:ind w:firstLine="708"/>
        <w:jc w:val="both"/>
        <w:rPr>
          <w:rFonts w:eastAsia="Calibri" w:cs="Times New Roman"/>
          <w:color w:val="000000"/>
          <w:szCs w:val="28"/>
          <w:lang w:eastAsia="ru-RU"/>
        </w:rPr>
      </w:pPr>
      <w:r>
        <w:rPr>
          <w:rFonts w:eastAsia="Calibri" w:cs="Times New Roman"/>
          <w:color w:val="000000"/>
          <w:szCs w:val="28"/>
          <w:lang w:eastAsia="ru-RU"/>
        </w:rPr>
        <w:t xml:space="preserve">Так, случаи присвоения объекту адресации адреса при выполнении </w:t>
      </w:r>
      <w:r>
        <w:rPr>
          <w:rFonts w:eastAsia="Calibri" w:cs="Times New Roman"/>
          <w:color w:val="000000"/>
          <w:szCs w:val="28"/>
          <w:lang w:eastAsia="ru-RU"/>
        </w:rPr>
        <w:br/>
        <w:t xml:space="preserve">кадастровых работ в </w:t>
      </w:r>
      <w:r>
        <w:rPr>
          <w:rFonts w:eastAsia="Calibri" w:cs="Times New Roman"/>
          <w:color w:val="000000"/>
          <w:szCs w:val="28"/>
          <w:lang w:eastAsia="ru-RU"/>
        </w:rPr>
        <w:t xml:space="preserve">отношении соответствующего объекта недвижимости (подготовки </w:t>
      </w:r>
      <w:r>
        <w:rPr>
          <w:rFonts w:eastAsia="Calibri" w:cs="Times New Roman"/>
          <w:color w:val="000000"/>
          <w:szCs w:val="28"/>
          <w:shd w:val="clear" w:color="auto" w:fill="ffffff"/>
          <w:lang w:eastAsia="ru-RU"/>
        </w:rPr>
        <w:t xml:space="preserve">документов, содержащих необходимые для осуществления государственного кадастрового учета сведения о таком объекте недвижимости) </w:t>
      </w:r>
      <w:r>
        <w:rPr>
          <w:rFonts w:eastAsia="Calibri" w:cs="Times New Roman"/>
          <w:color w:val="000000"/>
          <w:szCs w:val="28"/>
          <w:lang w:eastAsia="ru-RU"/>
        </w:rPr>
        <w:t xml:space="preserve">установлены пунктом 8 Правил присвоения адресов:</w:t>
      </w:r>
      <w:r>
        <w:rPr>
          <w:rFonts w:eastAsia="Calibri" w:cs="Times New Roman"/>
          <w:color w:val="000000"/>
          <w:szCs w:val="28"/>
          <w:lang w:eastAsia="ru-RU"/>
        </w:rPr>
      </w:r>
    </w:p>
    <w:p>
      <w:pPr>
        <w:ind w:firstLine="708"/>
        <w:jc w:val="both"/>
        <w:rPr>
          <w:rFonts w:eastAsia="Calibri" w:cs="Times New Roman"/>
          <w:color w:val="000000"/>
          <w:szCs w:val="28"/>
          <w:lang w:eastAsia="ru-RU"/>
        </w:rPr>
      </w:pPr>
      <w:r>
        <w:rPr>
          <w:rFonts w:eastAsia="Calibri" w:cs="Times New Roman"/>
          <w:color w:val="000000"/>
          <w:szCs w:val="28"/>
          <w:lang w:eastAsia="ru-RU"/>
        </w:rPr>
        <w:t xml:space="preserve">абзацем третьим под</w:t>
      </w:r>
      <w:r>
        <w:rPr>
          <w:rFonts w:eastAsia="Calibri" w:cs="Times New Roman"/>
          <w:color w:val="000000"/>
          <w:szCs w:val="28"/>
          <w:lang w:eastAsia="ru-RU"/>
        </w:rPr>
        <w:t xml:space="preserve">пункта «а» в отношении земельных участков, </w:t>
      </w:r>
      <w:r>
        <w:rPr>
          <w:rFonts w:eastAsia="Calibri" w:cs="Times New Roman"/>
          <w:color w:val="000000"/>
          <w:szCs w:val="28"/>
          <w:lang w:eastAsia="ru-RU"/>
        </w:rPr>
      </w:r>
    </w:p>
    <w:p>
      <w:pPr>
        <w:ind w:firstLine="708"/>
        <w:jc w:val="both"/>
        <w:rPr>
          <w:rFonts w:eastAsia="Calibri" w:cs="Times New Roman"/>
          <w:color w:val="000000"/>
          <w:szCs w:val="28"/>
          <w:lang w:eastAsia="ru-RU"/>
        </w:rPr>
      </w:pPr>
      <w:r>
        <w:rPr>
          <w:rFonts w:eastAsia="Calibri" w:cs="Times New Roman"/>
          <w:color w:val="000000"/>
          <w:szCs w:val="28"/>
          <w:lang w:eastAsia="ru-RU"/>
        </w:rPr>
        <w:t xml:space="preserve">абзацем третьим подпункта «б» в отношении зданий (строений) и сооружений, в том числе строительство которых не завершено – в случае, если </w:t>
      </w:r>
      <w:r>
        <w:rPr>
          <w:rFonts w:eastAsia="Calibri" w:cs="Times New Roman"/>
          <w:color w:val="000000"/>
          <w:szCs w:val="28"/>
          <w:lang w:eastAsia="ru-RU"/>
        </w:rPr>
        <w:t xml:space="preserve">в соответствии с Градостроительным кодексом Российской Федерации для строи</w:t>
      </w:r>
      <w:r>
        <w:rPr>
          <w:rFonts w:eastAsia="Calibri" w:cs="Times New Roman"/>
          <w:color w:val="000000"/>
          <w:szCs w:val="28"/>
          <w:lang w:eastAsia="ru-RU"/>
        </w:rPr>
        <w:t xml:space="preserve">тельства или реконструкции объекта недвижимости получение разрешения на строительство не требуется, </w:t>
      </w:r>
      <w:r>
        <w:rPr>
          <w:rFonts w:eastAsia="Calibri" w:cs="Times New Roman"/>
          <w:color w:val="000000"/>
          <w:szCs w:val="28"/>
          <w:lang w:eastAsia="ru-RU"/>
        </w:rPr>
      </w:r>
    </w:p>
    <w:p>
      <w:pPr>
        <w:ind w:firstLine="708"/>
        <w:jc w:val="both"/>
        <w:rPr>
          <w:rFonts w:eastAsia="Calibri" w:cs="Times New Roman"/>
          <w:color w:val="000000"/>
          <w:szCs w:val="28"/>
          <w:lang w:eastAsia="ru-RU"/>
        </w:rPr>
      </w:pPr>
      <w:r>
        <w:rPr>
          <w:rFonts w:eastAsia="Calibri" w:cs="Times New Roman"/>
          <w:color w:val="000000"/>
          <w:szCs w:val="28"/>
          <w:lang w:eastAsia="ru-RU"/>
        </w:rPr>
        <w:t xml:space="preserve">абзацем третьим подпункта «в» в отношении помещений, в том числе образуемых в результате преобразования другого помещения (помещений) и (или) машино-места </w:t>
      </w:r>
      <w:r>
        <w:rPr>
          <w:rFonts w:eastAsia="Calibri" w:cs="Times New Roman"/>
          <w:color w:val="000000"/>
          <w:szCs w:val="28"/>
          <w:lang w:eastAsia="ru-RU"/>
        </w:rPr>
        <w:t xml:space="preserve">(машино-мест),</w:t>
      </w:r>
      <w:r>
        <w:rPr>
          <w:rFonts w:eastAsia="Calibri" w:cs="Times New Roman"/>
          <w:color w:val="000000"/>
          <w:szCs w:val="28"/>
          <w:lang w:eastAsia="ru-RU"/>
        </w:rPr>
      </w:r>
    </w:p>
    <w:p>
      <w:pPr>
        <w:ind w:firstLine="708"/>
        <w:jc w:val="both"/>
        <w:rPr>
          <w:rFonts w:eastAsia="Calibri" w:cs="Times New Roman"/>
          <w:color w:val="000000"/>
          <w:szCs w:val="28"/>
          <w:lang w:eastAsia="ru-RU"/>
        </w:rPr>
      </w:pPr>
      <w:r>
        <w:rPr>
          <w:rFonts w:eastAsia="Calibri" w:cs="Times New Roman"/>
          <w:color w:val="000000"/>
          <w:szCs w:val="28"/>
          <w:lang w:eastAsia="ru-RU"/>
        </w:rPr>
        <w:t xml:space="preserve">подпунктом «г» в отношении машино-мест, в том числе образуемых в результате преобразования другого помещения (помещений) и (или) машино-места (машино-мест).</w:t>
      </w:r>
      <w:r>
        <w:rPr>
          <w:rFonts w:eastAsia="Calibri" w:cs="Times New Roman"/>
          <w:color w:val="000000"/>
          <w:szCs w:val="28"/>
          <w:lang w:eastAsia="ru-RU"/>
        </w:rPr>
      </w:r>
    </w:p>
    <w:p>
      <w:pPr>
        <w:ind w:firstLine="708"/>
        <w:jc w:val="both"/>
        <w:rPr>
          <w:rFonts w:eastAsia="Calibri" w:cs="Times New Roman"/>
          <w:color w:val="000000"/>
          <w:szCs w:val="28"/>
          <w:lang w:eastAsia="ru-RU"/>
        </w:rPr>
      </w:pPr>
      <w:r>
        <w:rPr>
          <w:rFonts w:eastAsia="Calibri" w:cs="Times New Roman"/>
          <w:color w:val="000000"/>
          <w:szCs w:val="28"/>
          <w:lang w:eastAsia="ru-RU"/>
        </w:rPr>
        <w:t xml:space="preserve">Возможность обращения кадастрового инженера, выполняющего на основании документа, пр</w:t>
      </w:r>
      <w:r>
        <w:rPr>
          <w:rFonts w:eastAsia="Calibri" w:cs="Times New Roman"/>
          <w:color w:val="000000"/>
          <w:szCs w:val="28"/>
          <w:lang w:eastAsia="ru-RU"/>
        </w:rPr>
        <w:t xml:space="preserve">едусмотренного статьей 35 или статьей 42.3 Федерального закона от 24.07.2007 № 221-ФЗ «О кадастровой деятельности», кадастровые работы или комплексные кадастровые работы в отношении соответствующего объекта недвижимости, являющегося объектом адресации, с з</w:t>
      </w:r>
      <w:r>
        <w:rPr>
          <w:rFonts w:eastAsia="Calibri" w:cs="Times New Roman"/>
          <w:color w:val="000000"/>
          <w:szCs w:val="28"/>
          <w:lang w:eastAsia="ru-RU"/>
        </w:rPr>
        <w:t xml:space="preserve">аявлением </w:t>
      </w:r>
      <w:r>
        <w:rPr>
          <w:rFonts w:eastAsia="Calibri" w:cs="Times New Roman"/>
          <w:bCs/>
          <w:color w:val="000000"/>
          <w:szCs w:val="28"/>
          <w:lang w:eastAsia="ru-RU"/>
        </w:rPr>
        <w:t xml:space="preserve">о присвоении объекту адресации адреса или об аннулировании его адреса, предусмотрена </w:t>
      </w:r>
      <w:r>
        <w:rPr>
          <w:rFonts w:eastAsia="Calibri" w:cs="Times New Roman"/>
          <w:color w:val="000000"/>
          <w:szCs w:val="28"/>
          <w:lang w:eastAsia="ru-RU"/>
        </w:rPr>
        <w:t xml:space="preserve">абзацем четвертым пункта 29 Правил присвоения адресов.</w:t>
      </w:r>
      <w:r>
        <w:rPr>
          <w:rFonts w:eastAsia="Calibri" w:cs="Times New Roman"/>
          <w:color w:val="000000"/>
          <w:szCs w:val="28"/>
          <w:lang w:eastAsia="ru-RU"/>
        </w:rPr>
      </w:r>
    </w:p>
    <w:p>
      <w:pPr>
        <w:ind w:firstLine="720"/>
        <w:jc w:val="both"/>
        <w:rPr>
          <w:szCs w:val="28"/>
        </w:rPr>
      </w:pPr>
      <w:r>
        <w:rPr>
          <w:szCs w:val="28"/>
        </w:rPr>
        <w:t xml:space="preserve">П</w:t>
      </w:r>
      <w:r>
        <w:rPr>
          <w:szCs w:val="28"/>
        </w:rPr>
        <w:t xml:space="preserve">ри этом </w:t>
      </w:r>
      <w:r>
        <w:rPr>
          <w:szCs w:val="28"/>
        </w:rPr>
        <w:t xml:space="preserve">разъяснения по вопросам применения Правил присвоения адресов дает Министерство финансов Российской Федерации с участием </w:t>
      </w:r>
      <w:r>
        <w:rPr>
          <w:szCs w:val="28"/>
          <w:shd w:val="clear" w:color="auto" w:fill="ffffff"/>
        </w:rPr>
        <w:t xml:space="preserve">Федеральной налоговой службы (</w:t>
      </w:r>
      <w:r>
        <w:rPr>
          <w:szCs w:val="28"/>
        </w:rPr>
        <w:t xml:space="preserve">пункт 2 Постановления № 1221).</w:t>
      </w:r>
      <w:r>
        <w:rPr>
          <w:szCs w:val="28"/>
        </w:rPr>
      </w:r>
    </w:p>
    <w:p>
      <w:pPr>
        <w:ind w:firstLine="720"/>
        <w:jc w:val="both"/>
        <w:rPr>
          <w:szCs w:val="28"/>
        </w:rPr>
      </w:pPr>
      <w:r>
        <w:rPr>
          <w:szCs w:val="28"/>
        </w:rPr>
        <w:t xml:space="preserve">Кроме того, Минфин России определен федеральным органом исполнительной влас</w:t>
      </w:r>
      <w:r>
        <w:rPr>
          <w:szCs w:val="28"/>
        </w:rPr>
        <w:t xml:space="preserve">ти, осуществляющим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(далее – ФИАС), а также с использованием содержащихся в г</w:t>
      </w:r>
      <w:r>
        <w:rPr>
          <w:szCs w:val="28"/>
        </w:rPr>
        <w:t xml:space="preserve">осударственном адресном реестре сведений об адресах, оператором ФИАС определена Федеральная налоговая служба (постановление Правительства Российской Федерации от 29.04.2014 № 384 «Об определении федерального органа исполнительной власти, осуществляющего но</w:t>
      </w:r>
      <w:r>
        <w:rPr>
          <w:szCs w:val="28"/>
        </w:rPr>
        <w:t xml:space="preserve">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</w:t>
      </w:r>
      <w:r>
        <w:rPr>
          <w:szCs w:val="28"/>
        </w:rPr>
        <w:t xml:space="preserve">дресах, а также оператора федеральной информационной адресной системы»).</w:t>
      </w:r>
      <w:r>
        <w:rPr>
          <w:szCs w:val="28"/>
        </w:rPr>
      </w:r>
    </w:p>
    <w:p>
      <w:pPr>
        <w:ind w:firstLine="709"/>
        <w:jc w:val="both"/>
        <w:rPr>
          <w:rFonts w:eastAsia="Calibri" w:cs="Times New Roman"/>
          <w:color w:val="000000"/>
          <w:szCs w:val="28"/>
        </w:rPr>
      </w:pPr>
      <w:r>
        <w:rPr>
          <w:rFonts w:eastAsia="Calibri" w:cs="Times New Roman"/>
          <w:color w:val="000000"/>
          <w:szCs w:val="28"/>
          <w:lang w:eastAsia="ru-RU"/>
        </w:rPr>
        <w:t xml:space="preserve">С учетом изложенного, разъяснение вопросов (проблем) применения Правил присвоения адресов, в том числе относительно возможности </w:t>
      </w:r>
      <w:r>
        <w:rPr>
          <w:rFonts w:eastAsia="Calibri" w:cs="Times New Roman"/>
          <w:color w:val="000000"/>
          <w:szCs w:val="28"/>
          <w:lang w:eastAsia="ru-RU"/>
        </w:rPr>
        <w:t xml:space="preserve">(невозможности) присвоения адресов, порядка и особеннос</w:t>
      </w:r>
      <w:r>
        <w:rPr>
          <w:rFonts w:eastAsia="Calibri" w:cs="Times New Roman"/>
          <w:color w:val="000000"/>
          <w:szCs w:val="28"/>
          <w:lang w:eastAsia="ru-RU"/>
        </w:rPr>
        <w:t xml:space="preserve">тей их присвоения, изменения и аннулирования относится к компетенции Минфина России. </w:t>
      </w:r>
      <w:r>
        <w:rPr>
          <w:rFonts w:eastAsia="Calibri" w:cs="Times New Roman"/>
          <w:color w:val="000000"/>
          <w:szCs w:val="28"/>
        </w:rPr>
      </w:r>
    </w:p>
    <w:p>
      <w:pPr>
        <w:ind w:firstLine="709"/>
        <w:jc w:val="both"/>
        <w:rPr>
          <w:rFonts w:eastAsia="Calibri" w:cs="Times New Roman"/>
          <w:color w:val="000000"/>
          <w:szCs w:val="28"/>
          <w:lang w:eastAsia="ru-RU"/>
        </w:rPr>
      </w:pPr>
      <w:r>
        <w:rPr>
          <w:rFonts w:eastAsia="Calibri" w:cs="Times New Roman"/>
          <w:color w:val="000000"/>
          <w:szCs w:val="28"/>
          <w:lang w:eastAsia="ru-RU"/>
        </w:rPr>
        <w:t xml:space="preserve">Так, Минфином России с целью устр</w:t>
      </w:r>
      <w:r>
        <w:rPr>
          <w:rFonts w:eastAsia="Calibri" w:cs="Times New Roman"/>
          <w:color w:val="000000"/>
          <w:szCs w:val="28"/>
          <w:lang w:eastAsia="ru-RU"/>
        </w:rPr>
        <w:t xml:space="preserve">анения возникших проблем с реализацией уполномоченными органами полномочий по присвоению и </w:t>
      </w:r>
      <w:r>
        <w:rPr>
          <w:rFonts w:eastAsia="Calibri" w:cs="Times New Roman"/>
          <w:color w:val="000000"/>
          <w:szCs w:val="28"/>
          <w:lang w:eastAsia="ru-RU"/>
        </w:rPr>
        <w:t xml:space="preserve">аннулированию адресов в контексте вступивших в</w:t>
      </w:r>
      <w:r>
        <w:rPr>
          <w:rFonts w:eastAsia="Calibri" w:cs="Times New Roman"/>
          <w:color w:val="000000"/>
          <w:szCs w:val="28"/>
          <w:lang w:eastAsia="ru-RU"/>
        </w:rPr>
        <w:t xml:space="preserve"> силу изменений, </w:t>
      </w:r>
      <w:r>
        <w:rPr>
          <w:rFonts w:eastAsia="Calibri" w:cs="Times New Roman"/>
          <w:color w:val="000000"/>
          <w:szCs w:val="28"/>
          <w:lang w:eastAsia="ru-RU"/>
        </w:rPr>
        <w:t xml:space="preserve">предусмотренных Приказом, а также с учетом позиции Росреестра, направленной в Минфин России направлено информационно-разъяснительное письмо от 20.05.2026 № 21-03-06/42106 (далее –  Разъяснение) в адрес исполнительных органов государственно</w:t>
      </w:r>
      <w:r>
        <w:rPr>
          <w:rFonts w:eastAsia="Calibri" w:cs="Times New Roman"/>
          <w:color w:val="000000"/>
          <w:szCs w:val="28"/>
          <w:lang w:eastAsia="ru-RU"/>
        </w:rPr>
        <w:t xml:space="preserve">й власти субъектов Российской Федерации. Копия данного письма также доведена в муниципальные образования области письмом Управления от 17.06.2026 № 28-02/26/05119@ (прилагается). </w:t>
      </w:r>
      <w:r>
        <w:rPr>
          <w:rFonts w:eastAsia="Calibri" w:cs="Times New Roman"/>
          <w:color w:val="000000"/>
          <w:szCs w:val="28"/>
          <w:lang w:eastAsia="ru-RU"/>
        </w:rPr>
      </w:r>
    </w:p>
    <w:p>
      <w:pPr>
        <w:ind w:firstLine="709"/>
        <w:jc w:val="both"/>
        <w:rPr>
          <w:rFonts w:eastAsia="Calibri" w:cs="Times New Roman"/>
          <w:color w:val="000000"/>
          <w:szCs w:val="28"/>
        </w:rPr>
      </w:pPr>
      <w:r>
        <w:rPr>
          <w:szCs w:val="28"/>
        </w:rPr>
        <w:t xml:space="preserve">В Разъяснении Минфин России ак</w:t>
      </w:r>
      <w:r>
        <w:rPr>
          <w:color w:val="000000"/>
          <w:szCs w:val="28"/>
        </w:rPr>
        <w:t xml:space="preserve">центировал внимание уполномоченных органов на необходимости неукоснительного соблюдения требований Правил присвоения адресов, предусматривающих порядок присвоения адресов объектам адресации при выполнении кадастровых работ, в том числе в части недопустимос</w:t>
      </w:r>
      <w:r>
        <w:rPr>
          <w:color w:val="000000"/>
          <w:szCs w:val="28"/>
        </w:rPr>
        <w:t xml:space="preserve">ти:</w:t>
      </w:r>
      <w:r>
        <w:rPr>
          <w:rFonts w:eastAsia="Calibri" w:cs="Times New Roman"/>
          <w:color w:val="000000"/>
          <w:szCs w:val="28"/>
        </w:rPr>
      </w:r>
    </w:p>
    <w:p>
      <w:pPr>
        <w:ind w:firstLine="720"/>
        <w:jc w:val="both"/>
        <w:rPr>
          <w:i/>
          <w:szCs w:val="28"/>
        </w:rPr>
      </w:pPr>
      <w:r>
        <w:rPr>
          <w:color w:val="000000"/>
          <w:szCs w:val="28"/>
        </w:rPr>
        <w:t xml:space="preserve"> принятия ими решений об отказе в присвоении образуемому объекту адресации адреса по причине отсутствия у такого объекта кадастрового номера и (или) отсутствия государственной регистра</w:t>
      </w:r>
      <w:r>
        <w:rPr>
          <w:color w:val="000000"/>
          <w:szCs w:val="28"/>
        </w:rPr>
        <w:t xml:space="preserve">ции прав собственности на такой объект – если присвоение такому объе</w:t>
      </w:r>
      <w:r>
        <w:rPr>
          <w:color w:val="000000"/>
          <w:szCs w:val="28"/>
        </w:rPr>
        <w:t xml:space="preserve">кту адресации адреса осуществляется в случаях, указанных в абзаце третьем подпункта «а», абзаце третьем подпункта</w:t>
      </w:r>
      <w:r>
        <w:rPr>
          <w:szCs w:val="28"/>
        </w:rPr>
        <w:t xml:space="preserve"> «б», абзаце третьем подпункта «в» и подпункте «г» пункта 8 Правил присвоения, адресов при выполнении кадастровых работ в отношении соответству</w:t>
      </w:r>
      <w:r>
        <w:rPr>
          <w:szCs w:val="28"/>
        </w:rPr>
        <w:t xml:space="preserve">ющего объекта недвижимости, в том числе по обращениям кадастровых инженеров, направленным на основании пункта 29 Правил присвоения адресов;</w:t>
      </w:r>
      <w:r>
        <w:rPr>
          <w:i/>
          <w:szCs w:val="28"/>
        </w:rPr>
      </w:r>
    </w:p>
    <w:p>
      <w:pPr>
        <w:ind w:firstLine="720"/>
        <w:jc w:val="both"/>
        <w:rPr>
          <w:i/>
          <w:szCs w:val="28"/>
        </w:rPr>
      </w:pPr>
      <w:r>
        <w:rPr>
          <w:szCs w:val="28"/>
        </w:rPr>
        <w:t xml:space="preserve">принятия решений об отказе в присвоении объекту адресации адреса, </w:t>
      </w:r>
      <w:r>
        <w:rPr>
          <w:szCs w:val="28"/>
        </w:rPr>
        <w:br/>
        <w:t xml:space="preserve">не соответствующих требованиям пунктов 40 – 42 Пр</w:t>
      </w:r>
      <w:r>
        <w:rPr>
          <w:szCs w:val="28"/>
        </w:rPr>
        <w:t xml:space="preserve">авил присвоения адресов; </w:t>
      </w:r>
      <w:r>
        <w:rPr>
          <w:i/>
          <w:szCs w:val="28"/>
        </w:rPr>
      </w:r>
    </w:p>
    <w:p>
      <w:pPr>
        <w:ind w:firstLine="720"/>
        <w:jc w:val="both"/>
        <w:rPr>
          <w:i/>
          <w:szCs w:val="28"/>
        </w:rPr>
      </w:pPr>
      <w:r>
        <w:rPr>
          <w:szCs w:val="28"/>
        </w:rPr>
        <w:t xml:space="preserve">истребования от заявителей дополнительных документов, предоставление которых Правилами присвоения адресов не предусмотрено (в том числе межевых и технических планов на образуемые объекты недвижимости, государственный кадастровый у</w:t>
      </w:r>
      <w:r>
        <w:rPr>
          <w:szCs w:val="28"/>
        </w:rPr>
        <w:t xml:space="preserve">чет которых еще не осуществлен, либо проектов таких документов).</w:t>
      </w:r>
      <w:r>
        <w:rPr>
          <w:i/>
          <w:szCs w:val="28"/>
        </w:rPr>
      </w:r>
    </w:p>
    <w:p>
      <w:pPr>
        <w:ind w:firstLine="720"/>
        <w:jc w:val="both"/>
        <w:rPr>
          <w:i/>
          <w:szCs w:val="28"/>
        </w:rPr>
      </w:pPr>
      <w:r>
        <w:rPr>
          <w:szCs w:val="28"/>
        </w:rPr>
        <w:t xml:space="preserve">Также в Разъяснении отмечается, что установленный пунктом 40 Правил присвоения адресов перечень случаев, в которых в присвоении объекту адресации адреса или аннулировании его адреса может быт</w:t>
      </w:r>
      <w:r>
        <w:rPr>
          <w:szCs w:val="28"/>
        </w:rPr>
        <w:t xml:space="preserve">ь отказано является конечным, иные основания для отказа в присвоении адреса объекту адресации законодательством в области адресации не предусмотрены.</w:t>
      </w:r>
      <w:r>
        <w:rPr>
          <w:i/>
          <w:szCs w:val="28"/>
        </w:rPr>
      </w:r>
    </w:p>
    <w:p>
      <w:pPr>
        <w:ind w:firstLine="708"/>
        <w:jc w:val="both"/>
        <w:spacing w:line="288" w:lineRule="atLeast"/>
        <w:rPr>
          <w:rFonts w:eastAsia="Times New Roman" w:cs="Times New Roman"/>
          <w:sz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Cs w:val="28"/>
          <w:highlight w:val="white"/>
        </w:rPr>
        <w:t xml:space="preserve">В этой связи повторно обращаем внимание, что </w:t>
      </w:r>
      <w:r>
        <w:rPr>
          <w:szCs w:val="28"/>
          <w:highlight w:val="white"/>
          <w:shd w:val="clear" w:color="auto" w:fill="ffffff"/>
        </w:rPr>
        <w:t xml:space="preserve">отсутствие в межевом/техническом плане адреса по ГАР для объе</w:t>
      </w:r>
      <w:r>
        <w:rPr>
          <w:szCs w:val="28"/>
          <w:highlight w:val="white"/>
          <w:shd w:val="clear" w:color="auto" w:fill="ffffff"/>
        </w:rPr>
        <w:t xml:space="preserve">ктов, которые являются объектами адресации, является основанием для</w:t>
      </w:r>
      <w:r>
        <w:rPr>
          <w:szCs w:val="28"/>
          <w:highlight w:val="white"/>
        </w:rPr>
        <w:t xml:space="preserve"> приостановления осуществления государственного кадастрового учета по </w:t>
      </w:r>
      <w:r>
        <w:rPr>
          <w:color w:val="000000"/>
          <w:szCs w:val="28"/>
          <w:highlight w:val="white"/>
          <w:lang w:eastAsia="ru-RU"/>
        </w:rPr>
        <w:t xml:space="preserve">пункту 7 части 1 </w:t>
      </w:r>
      <w:r>
        <w:rPr>
          <w:color w:val="000000"/>
          <w:szCs w:val="28"/>
          <w:highlight w:val="white"/>
          <w:lang w:eastAsia="ru-RU"/>
        </w:rPr>
        <w:t xml:space="preserve">статьи 26 </w:t>
      </w:r>
      <w:r>
        <w:rPr>
          <w:rFonts w:eastAsia="Times New Roman" w:cs="Times New Roman"/>
          <w:color w:val="000000"/>
          <w:szCs w:val="28"/>
          <w:highlight w:val="white"/>
        </w:rPr>
        <w:t xml:space="preserve">Федерального закона от 13.07.2015 № 218-ФЗ «О государственной регистрации недвижимости»</w:t>
      </w:r>
      <w:r>
        <w:rPr>
          <w:szCs w:val="28"/>
          <w:highlight w:val="white"/>
        </w:rPr>
        <w:t xml:space="preserve">.</w:t>
      </w:r>
      <w:r>
        <w:rPr>
          <w:rFonts w:eastAsia="Times New Roman" w:cs="Times New Roman"/>
          <w:sz w:val="24"/>
          <w:highlight w:val="white"/>
        </w:rPr>
      </w:r>
    </w:p>
    <w:p>
      <w:pPr>
        <w:ind w:firstLine="720"/>
        <w:jc w:val="both"/>
        <w:rPr>
          <w:szCs w:val="28"/>
        </w:rPr>
      </w:pPr>
      <w:r>
        <w:rPr>
          <w:szCs w:val="28"/>
        </w:rPr>
        <w:t xml:space="preserve">При</w:t>
      </w:r>
      <w:r>
        <w:rPr>
          <w:szCs w:val="28"/>
        </w:rPr>
        <w:t xml:space="preserve"> этом также отмечаем, что возможность присвоения объекту адресации адреса определяется уполномоченным органом (подпункт «а» пункта 19 Правил присвоения адресов), и в присвоении объекту адресации адреса таким органом может быть отказано на основании подпунк</w:t>
      </w:r>
      <w:r>
        <w:rPr>
          <w:szCs w:val="28"/>
        </w:rPr>
        <w:t xml:space="preserve">та «г» пункта 40 Правил присвоения адресов, когда отсутствуют случаи и условия для присвоения объекту адресации адреса, указанные в пунктах 5, 8 – 11 Правил присвоения адресов (то есть когда возможность присвоения такому объекту адреса в соответствии с Пра</w:t>
      </w:r>
      <w:r>
        <w:rPr>
          <w:szCs w:val="28"/>
        </w:rPr>
        <w:t xml:space="preserve">вилами присвоения адресов объективно отсутствует, несмотря на надлежащее исполнение (соблюдение) заявителем и (или) уполномоченным органом соответствующих положений Правил присвоения адресов). </w:t>
      </w:r>
      <w:r>
        <w:rPr>
          <w:szCs w:val="28"/>
        </w:rPr>
      </w:r>
    </w:p>
    <w:p>
      <w:pPr>
        <w:ind w:firstLine="720"/>
        <w:jc w:val="both"/>
        <w:rPr>
          <w:szCs w:val="28"/>
        </w:rPr>
      </w:pPr>
      <w:r>
        <w:rPr>
          <w:szCs w:val="28"/>
        </w:rPr>
        <w:t xml:space="preserve">Представляется, что в случае, если на осн</w:t>
      </w:r>
      <w:r>
        <w:rPr>
          <w:szCs w:val="28"/>
        </w:rPr>
        <w:t xml:space="preserve">овании обращения кадастрового инженера, предусмотренного пунктом 29 Правил присвоения адресов, сведения об адресе объекта недвижимости не были внесены в государственный адресный реестр ввиду отсутствия возможности присвоения ему адреса, которое установлено</w:t>
      </w:r>
      <w:r>
        <w:t xml:space="preserve"> </w:t>
      </w:r>
      <w:r>
        <w:rPr>
          <w:szCs w:val="28"/>
        </w:rPr>
        <w:t xml:space="preserve">уполномоченным органом путем принятия решения об отказе в присвоении адреса такому объекту на основании подпункта «г» пункта 40 Правил присвоения адресов (и, соответственно, отсутствует уникальный идентификатора адреса, присвоенный объекту недвижимости уп</w:t>
      </w:r>
      <w:r>
        <w:rPr>
          <w:szCs w:val="28"/>
        </w:rPr>
        <w:t xml:space="preserve">олномоченный органом), кадастровым инженером в карте-плане территории, межевом плане, техническом плане могут быть указаны сведения об ином месте нахождения такого объекта недвижимости, а осуществление государственного кадастрового учета не подлежит приост</w:t>
      </w:r>
      <w:r>
        <w:rPr>
          <w:szCs w:val="28"/>
        </w:rPr>
        <w:t xml:space="preserve">ановлению при наличии в составе указанных документов соответствующего решения уполномоченного органа, подтверждающего невозможность присвоения адреса объекту недвижимости по причинам, не зависящим от действий кадастрового инженера или иного уполномоченного</w:t>
      </w:r>
      <w:r>
        <w:rPr>
          <w:szCs w:val="28"/>
        </w:rPr>
        <w:t xml:space="preserve"> заявителя, указанного в пунктах 27 и 29 Правил присвоения адресов, которое вправе обращаться за присвоением адреса объекту адресации.</w:t>
      </w:r>
      <w:r>
        <w:rPr>
          <w:szCs w:val="28"/>
        </w:rPr>
      </w:r>
    </w:p>
    <w:p>
      <w:pPr>
        <w:ind w:firstLine="709"/>
        <w:jc w:val="both"/>
        <w:spacing w:line="240" w:lineRule="auto"/>
        <w:rPr>
          <w:rFonts w:cs="Times New Roman"/>
          <w:bCs/>
          <w:i/>
          <w:color w:val="000000"/>
          <w:szCs w:val="28"/>
        </w:rPr>
      </w:pPr>
      <w:r>
        <w:rPr>
          <w:rFonts w:cs="Times New Roman"/>
          <w:i/>
          <w:iCs/>
          <w:color w:val="000000"/>
          <w:szCs w:val="28"/>
        </w:rPr>
        <w:t xml:space="preserve">2. Об ошибках, допускаемых кадастровыми инженерами при подготовке межевых и технических планов.</w:t>
      </w:r>
      <w:r>
        <w:rPr>
          <w:rFonts w:cs="Times New Roman"/>
          <w:bCs/>
          <w:i/>
          <w:color w:val="000000"/>
          <w:szCs w:val="28"/>
        </w:rPr>
      </w:r>
    </w:p>
    <w:p>
      <w:pPr>
        <w:ind w:firstLine="708"/>
        <w:jc w:val="both"/>
        <w:spacing w:line="17" w:lineRule="atLeast"/>
        <w:shd w:val="clear" w:color="ffffff" w:fill="ffffff"/>
        <w:rPr>
          <w:rFonts w:eastAsia="Times New Roman" w:cs="Times New Roman"/>
          <w:color w:val="000000"/>
          <w:szCs w:val="28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eastAsia="Times New Roman" w:cs="Times New Roman"/>
          <w:color w:val="000000"/>
          <w:szCs w:val="28"/>
        </w:rPr>
        <w:t xml:space="preserve">В те</w:t>
      </w:r>
      <w:r>
        <w:rPr>
          <w:rFonts w:eastAsia="Times New Roman" w:cs="Times New Roman"/>
          <w:color w:val="000000"/>
          <w:szCs w:val="28"/>
        </w:rPr>
        <w:t xml:space="preserve">кущем году </w:t>
      </w:r>
      <w:r>
        <w:rPr>
          <w:rFonts w:eastAsia="Times New Roman" w:cs="Times New Roman"/>
          <w:color w:val="000000"/>
          <w:szCs w:val="28"/>
        </w:rPr>
        <w:t xml:space="preserve">Росреестр полностью перешел на электронное взаимодействие с юридическими лицами. При этом происходит множество ошибок на этапе подачи документов, что становится причиной для приостановления государственного кадастрового учета и государственной регистрации </w:t>
      </w:r>
      <w:r>
        <w:rPr>
          <w:rFonts w:eastAsia="Times New Roman" w:cs="Times New Roman"/>
          <w:color w:val="000000"/>
          <w:szCs w:val="28"/>
        </w:rPr>
        <w:t xml:space="preserve">прав.</w:t>
      </w:r>
      <w:r>
        <w:rPr>
          <w:rFonts w:eastAsia="Times New Roman" w:cs="Times New Roman"/>
          <w:color w:val="000000"/>
          <w:szCs w:val="28"/>
          <w:highlight w:val="yellow"/>
        </w:rPr>
      </w:r>
    </w:p>
    <w:p>
      <w:pPr>
        <w:ind w:firstLine="708"/>
        <w:jc w:val="both"/>
        <w:spacing w:line="17" w:lineRule="atLeast"/>
        <w:shd w:val="clear" w:color="ffffff" w:fill="ffffff"/>
        <w:rPr>
          <w:rFonts w:cs="Times New Roman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eastAsia="Times New Roman" w:cs="Times New Roman"/>
          <w:color w:val="000000"/>
          <w:szCs w:val="28"/>
        </w:rPr>
        <w:t xml:space="preserve">В целях исключения ошибок, которые влекут за собой невозможность автоматической загрузки сведений из межевых и технических планов в ФГИС ЕГРН Ассоциацией «Национальное объединение саморегулируемых организаций кадастровых инженеров» подготовлена </w:t>
      </w:r>
      <w:r>
        <w:rPr>
          <w:rFonts w:eastAsia="Times New Roman" w:cs="Times New Roman"/>
          <w:color w:val="000000"/>
          <w:szCs w:val="28"/>
        </w:rPr>
        <w:t xml:space="preserve"> </w:t>
      </w:r>
      <w:hyperlink r:id="rId12" w:tooltip="https://ki-rf.ru/wp-content/uploads/2026/06/%D0%A0%D0%B5%D0%BA%D0%BE%D0%BC%D0%B5%D0%BD%D0%B4%D0%B0%D1%86%D0%B8%D0%B8-%D0%BF%D0%BE-%D0%BF%D0%BE%D0%B4%D0%B0%D1%87%D0%B5-%D0%A2%D0%9F-%D0%B8-%D0%9C%D0%9F-%D0%B2-%D0%A0%D0%A0.pdf" w:history="1">
        <w:r>
          <w:rPr>
            <w:rStyle w:val="981"/>
            <w:rFonts w:eastAsia="Times New Roman" w:cs="Times New Roman"/>
            <w:color w:val="064274"/>
            <w:szCs w:val="28"/>
            <w:u w:val="none"/>
          </w:rPr>
          <w:t xml:space="preserve">инструкция для </w:t>
        </w:r>
        <w:r>
          <w:rPr>
            <w:rStyle w:val="981"/>
            <w:rFonts w:eastAsia="Times New Roman" w:cs="Times New Roman"/>
            <w:color w:val="064274"/>
            <w:szCs w:val="28"/>
            <w:u w:val="none"/>
          </w:rPr>
          <w:t xml:space="preserve">юридических лиц</w:t>
        </w:r>
      </w:hyperlink>
      <w:r>
        <w:rPr>
          <w:rFonts w:eastAsia="Times New Roman" w:cs="Times New Roman"/>
          <w:color w:val="000000"/>
          <w:szCs w:val="28"/>
        </w:rPr>
        <w:t xml:space="preserve"> – заказчиков кад</w:t>
      </w:r>
      <w:r>
        <w:rPr>
          <w:rFonts w:eastAsia="Times New Roman" w:cs="Times New Roman"/>
          <w:color w:val="000000"/>
          <w:szCs w:val="28"/>
        </w:rPr>
        <w:t xml:space="preserve">астровых работ </w:t>
      </w:r>
      <w:r>
        <w:rPr>
          <w:rFonts w:eastAsia="Times New Roman" w:cs="Times New Roman"/>
          <w:color w:val="000000"/>
          <w:szCs w:val="28"/>
        </w:rPr>
        <w:t xml:space="preserve">по правильной подаче межевых и технических планов в электронном виде </w:t>
      </w:r>
      <w:r>
        <w:rPr>
          <w:rFonts w:eastAsia="Times New Roman" w:cs="Times New Roman"/>
          <w:color w:val="000000"/>
          <w:szCs w:val="28"/>
        </w:rPr>
        <w:t xml:space="preserve">(прилагается)</w:t>
      </w:r>
      <w:r>
        <w:rPr>
          <w:rFonts w:eastAsia="Times New Roman" w:cs="Times New Roman"/>
          <w:color w:val="000000" w:themeColor="text1"/>
          <w:szCs w:val="28"/>
        </w:rPr>
        <w:t xml:space="preserve">. </w:t>
      </w:r>
      <w:r>
        <w:rPr>
          <w:rFonts w:cs="Times New Roman"/>
          <w:szCs w:val="28"/>
        </w:rPr>
      </w:r>
    </w:p>
    <w:p>
      <w:pPr>
        <w:ind w:firstLine="709"/>
        <w:jc w:val="both"/>
        <w:spacing w:line="240" w:lineRule="auto"/>
        <w:rPr>
          <w:rFonts w:cs="Times New Roman"/>
          <w:bCs/>
          <w:i/>
          <w:color w:val="000000"/>
          <w:szCs w:val="28"/>
        </w:rPr>
      </w:pPr>
      <w:r>
        <w:rPr>
          <w:rFonts w:cs="Times New Roman"/>
          <w:i/>
          <w:iCs/>
          <w:color w:val="000000"/>
          <w:szCs w:val="28"/>
          <w:highlight w:val="white"/>
        </w:rPr>
        <w:t xml:space="preserve">3. О многоконтурных земельных участках.</w:t>
      </w:r>
      <w:r>
        <w:rPr>
          <w:rFonts w:cs="Times New Roman"/>
          <w:bCs/>
          <w:i/>
          <w:color w:val="000000"/>
          <w:szCs w:val="28"/>
        </w:rPr>
      </w:r>
    </w:p>
    <w:p>
      <w:pPr>
        <w:jc w:val="both"/>
        <w:spacing w:line="240" w:lineRule="auto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           Управлением ранее направлено письмо от 26.02.2026 № 28-02/26/01759@ (прилагается) </w:t>
      </w:r>
      <w:r>
        <w:rPr>
          <w:rFonts w:cs="Times New Roman"/>
          <w:color w:val="000000"/>
          <w:szCs w:val="28"/>
          <w:highlight w:val="white"/>
        </w:rPr>
        <w:t xml:space="preserve">относительно образования земельных участков, границы которых представляют собой совокупность контуров, отделенных друг от друга иными земельными участками или землями</w:t>
      </w:r>
      <w:r>
        <w:rPr>
          <w:rFonts w:cs="Times New Roman"/>
          <w:color w:val="000000"/>
          <w:szCs w:val="28"/>
        </w:rPr>
        <w:t xml:space="preserve">.</w:t>
      </w:r>
      <w:r>
        <w:rPr>
          <w:rFonts w:cs="Times New Roman"/>
          <w:color w:val="000000"/>
          <w:szCs w:val="28"/>
        </w:rPr>
      </w:r>
    </w:p>
    <w:p>
      <w:pPr>
        <w:ind w:firstLine="709"/>
        <w:jc w:val="both"/>
        <w:spacing w:line="240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</w:rPr>
        <w:t xml:space="preserve">Просим довести указанную информацию до сведения заинтересованных лиц.</w:t>
      </w:r>
      <w:r>
        <w:rPr>
          <w:color w:val="000000" w:themeColor="text1"/>
          <w:highlight w:val="none"/>
        </w:rPr>
      </w:r>
    </w:p>
    <w:p>
      <w:pPr>
        <w:jc w:val="both"/>
        <w:spacing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  <w:szCs w:val="28"/>
          <w:highlight w:val="none"/>
        </w:rPr>
      </w:r>
      <w:r>
        <w:rPr>
          <w:rFonts w:cs="Times New Roman"/>
          <w:color w:val="000000"/>
          <w:szCs w:val="28"/>
          <w:highlight w:val="none"/>
        </w:rPr>
      </w:r>
    </w:p>
    <w:p>
      <w:pPr>
        <w:jc w:val="both"/>
        <w:spacing w:line="240" w:lineRule="auto"/>
        <w:rPr>
          <w:rFonts w:cs="Times New Roman"/>
          <w:color w:val="000000"/>
          <w:highlight w:val="none"/>
        </w:rPr>
      </w:pPr>
      <w:r>
        <w:rPr>
          <w:rFonts w:cs="Times New Roman"/>
          <w:color w:val="000000"/>
          <w:szCs w:val="28"/>
        </w:rPr>
        <w:t xml:space="preserve">Приложение: в электронном виде на 31 л.</w:t>
      </w:r>
      <w:r>
        <w:rPr>
          <w:rFonts w:cs="Times New Roman"/>
          <w:color w:val="000000"/>
          <w:szCs w:val="28"/>
        </w:rPr>
      </w:r>
      <w:r>
        <w:rPr>
          <w:rFonts w:cs="Times New Roman"/>
          <w:color w:val="000000"/>
          <w:szCs w:val="28"/>
        </w:rPr>
      </w:r>
    </w:p>
    <w:p>
      <w:pPr>
        <w:ind w:firstLine="709"/>
        <w:jc w:val="both"/>
        <w:spacing w:line="240" w:lineRule="auto"/>
        <w:rPr>
          <w:color w:val="000000" w:themeColor="text1"/>
        </w:rPr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szCs w:val="28"/>
          <w:highlight w:val="none"/>
        </w:rPr>
      </w:r>
    </w:p>
    <w:p>
      <w:pPr>
        <w:ind w:firstLine="709"/>
        <w:jc w:val="both"/>
        <w:spacing w:line="240" w:lineRule="auto"/>
        <w:rPr>
          <w:color w:val="000000" w:themeColor="text1"/>
        </w:rPr>
      </w:pP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</w:rPr>
      </w:r>
      <w:r>
        <w:rPr>
          <w:rFonts w:cs="Times New Roman"/>
          <w:color w:val="000000"/>
          <w:szCs w:val="28"/>
        </w:rPr>
        <w:t xml:space="preserve">                </w:t>
      </w:r>
      <w:r>
        <w:rPr>
          <w:rFonts w:cs="Times New Roman"/>
          <w:color w:val="000000"/>
          <w:szCs w:val="28"/>
          <w:highlight w:val="yellow"/>
        </w:rPr>
      </w:r>
      <w:r>
        <w:rPr>
          <w:color w:val="000000" w:themeColor="text1"/>
        </w:rPr>
      </w:r>
    </w:p>
    <w:p>
      <w:pPr>
        <w:jc w:val="both"/>
        <w:spacing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jc w:val="both"/>
        <w:spacing w:line="240" w:lineRule="auto"/>
        <w:rPr>
          <w:szCs w:val="28"/>
          <w:highlight w:val="white"/>
        </w:rPr>
      </w:pPr>
      <w:r>
        <w:rPr>
          <w:szCs w:val="28"/>
          <w:highlight w:val="white"/>
          <w:lang w:eastAsia="ru-RU"/>
        </w:rPr>
        <w:t xml:space="preserve">Заместитель руководителя </w:t>
      </w:r>
      <w:r>
        <w:rPr>
          <w:szCs w:val="28"/>
          <w:highlight w:val="white"/>
        </w:rPr>
      </w:r>
    </w:p>
    <w:p>
      <w:pPr>
        <w:spacing w:line="240" w:lineRule="auto"/>
        <w:rPr>
          <w:szCs w:val="28"/>
          <w:highlight w:val="white"/>
        </w:rPr>
      </w:pPr>
      <w:r>
        <w:rPr>
          <w:szCs w:val="28"/>
          <w:highlight w:val="white"/>
          <w:lang w:eastAsia="ru-RU"/>
        </w:rPr>
        <w:t xml:space="preserve">Управления                                                                                      Р.С. </w:t>
      </w:r>
      <w:r>
        <w:rPr>
          <w:szCs w:val="28"/>
          <w:highlight w:val="white"/>
          <w:lang w:eastAsia="ru-RU"/>
        </w:rPr>
        <w:t xml:space="preserve">Кочмарчук</w:t>
      </w:r>
      <w:r>
        <w:rPr>
          <w:szCs w:val="28"/>
          <w:highlight w:val="white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/>
      <w:bookmarkStart w:id="0" w:name="_GoBack"/>
      <w:r/>
      <w:bookmarkEnd w:id="0"/>
      <w:r/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5"/>
          <w:szCs w:val="25"/>
          <w:highlight w:val="yellow"/>
        </w:rPr>
        <w:outlineLvl w:val="0"/>
      </w:pPr>
      <w:r>
        <w:rPr>
          <w:sz w:val="25"/>
          <w:szCs w:val="25"/>
          <w:highlight w:val="yellow"/>
        </w:rPr>
      </w:r>
      <w:r>
        <w:rPr>
          <w:sz w:val="25"/>
          <w:szCs w:val="25"/>
          <w:highlight w:val="yellow"/>
        </w:rPr>
      </w:r>
    </w:p>
    <w:p>
      <w:pPr>
        <w:jc w:val="both"/>
        <w:spacing w:line="240" w:lineRule="auto"/>
        <w:rPr>
          <w:sz w:val="20"/>
          <w:szCs w:val="20"/>
          <w:highlight w:val="white"/>
        </w:rPr>
        <w:outlineLvl w:val="0"/>
      </w:pPr>
      <w:r>
        <w:rPr>
          <w:sz w:val="20"/>
          <w:szCs w:val="20"/>
          <w:highlight w:val="white"/>
        </w:rPr>
        <w:t xml:space="preserve">Моисеенко Дана Витальевна</w:t>
      </w:r>
      <w:r>
        <w:rPr>
          <w:sz w:val="20"/>
          <w:szCs w:val="20"/>
          <w:highlight w:val="white"/>
        </w:rPr>
      </w:r>
    </w:p>
    <w:p>
      <w:pPr>
        <w:jc w:val="both"/>
        <w:spacing w:line="240" w:lineRule="auto"/>
        <w:rPr>
          <w:sz w:val="20"/>
          <w:szCs w:val="20"/>
          <w:highlight w:val="white"/>
        </w:rPr>
        <w:outlineLvl w:val="0"/>
      </w:pPr>
      <w:r>
        <w:rPr>
          <w:sz w:val="20"/>
          <w:szCs w:val="20"/>
          <w:highlight w:val="white"/>
        </w:rPr>
        <w:t xml:space="preserve">(4162) 44 12 34</w:t>
      </w:r>
      <w:r>
        <w:rPr>
          <w:sz w:val="20"/>
          <w:szCs w:val="20"/>
          <w:highlight w:val="white"/>
        </w:rPr>
      </w:r>
    </w:p>
    <w:p>
      <w:pPr>
        <w:jc w:val="both"/>
        <w:spacing w:line="240" w:lineRule="auto"/>
        <w:rPr>
          <w:highlight w:val="yellow"/>
        </w:rPr>
      </w:pPr>
      <w:r>
        <w:rPr>
          <w:sz w:val="20"/>
          <w:szCs w:val="20"/>
          <w:highlight w:val="white"/>
          <w:lang w:val="en-US"/>
        </w:rPr>
        <w:t xml:space="preserve">IP</w:t>
      </w:r>
      <w:r>
        <w:rPr>
          <w:sz w:val="20"/>
          <w:szCs w:val="20"/>
          <w:highlight w:val="white"/>
        </w:rPr>
        <w:t xml:space="preserve">: 8(28)1212</w:t>
      </w:r>
      <w:r>
        <w:rPr>
          <w:highlight w:val="yellow"/>
        </w:rPr>
      </w:r>
    </w:p>
    <w:sectPr>
      <w:headerReference w:type="default" r:id="rId10"/>
      <w:headerReference w:type="first" r:id="rId11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7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5</w:t>
    </w:r>
    <w:r>
      <w:fldChar w:fldCharType="end"/>
    </w:r>
    <w:r/>
  </w:p>
  <w:p>
    <w:pPr>
      <w:pStyle w:val="97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7"/>
    </w:pPr>
    <w:r>
      <w:rPr>
        <w:color w:val="1f3763"/>
        <w:sz w:val="20"/>
        <w:szCs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45720" distB="45720" distL="114300" distR="114300" simplePos="0" relativeHeight="251661312" behindDoc="1" locked="0" layoutInCell="1" allowOverlap="1">
              <wp:simplePos x="0" y="0"/>
              <wp:positionH relativeFrom="margin">
                <wp:posOffset>3810</wp:posOffset>
              </wp:positionH>
              <wp:positionV relativeFrom="margin">
                <wp:posOffset>-36195</wp:posOffset>
              </wp:positionV>
              <wp:extent cx="2808000" cy="2448000"/>
              <wp:effectExtent l="0" t="0" r="0" b="9525"/>
              <wp:wrapNone/>
              <wp:docPr id="1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8000" cy="2448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15:appearance w15:val="boundingBox"/>
                            <w:id w:val="-1221133429"/>
                            <w:lock w:val="contentLocked"/>
                            <w:placeholder>
                              <w:docPart w:val="DefaultPlaceholder_-1854013440"/>
                            </w:placeholder>
                            <w:rPr>
                              <w:color w:val="1f3864" w:themeColor="accent5" w:themeShade="80"/>
                              <w:sz w:val="20"/>
                              <w:szCs w:val="20"/>
                            </w:rPr>
                          </w:sdtPr>
                          <w:sdtContent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ФЕДЕРАЛЬНАЯ СЛУЖБА 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ГОСУДАРСТВЕННОЙ РЕГИСТРАЦИИ, КАДАСТРА И КАРТОГРАФИИ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(РОСРЕЕСТР)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r>
                              <w:r>
                                <w:rPr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b/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b/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r>
                              <w:r>
                                <w:rPr>
                                  <w:b/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УПРАВЛЕНИЕ ФЕДЕРАЛЬНОЙ СЛУЖБЫ ГОСУДАРСТВЕННОЙ РЕГИСТРАЦИИ, КАДАСТРА И КАРТОГРАФИИ </w:t>
                              </w:r>
                              <w:r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ПО АМУРСКОЙ ОБЛАСТИ</w:t>
                              </w:r>
                              <w:r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(Управление Росреестра по Амурской области)</w:t>
                              </w:r>
                              <w:r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b/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b/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r>
                              <w:r>
                                <w:rPr>
                                  <w:b/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Пограничный пер., д.10, г. Благовещенск, 675000 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Тел. (4162) 44-12-12, факс 44-12-13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  <w:lang w:val="en-US"/>
                                </w:rPr>
                                <w:t xml:space="preserve">E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-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  <w:lang w:val="en-US"/>
                                </w:rPr>
                                <w:t xml:space="preserve">mail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: 28_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  <w:lang w:val="en-US"/>
                                </w:rPr>
                                <w:t xml:space="preserve">upr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@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  <w:lang w:val="en-US"/>
                                </w:rPr>
                                <w:t xml:space="preserve">rosreest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  <w:lang w:val="en-US"/>
                                </w:rPr>
                                <w:t xml:space="preserve">r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.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  <w:lang w:val="en-US"/>
                                </w:rPr>
                                <w:t xml:space="preserve">ru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after="60" w:line="240" w:lineRule="auto"/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ОГРН 1042800036730, ИНН 2801100402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after="120" w:line="240" w:lineRule="auto"/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_________________№_______________________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На № _____________________ от _____________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36000" tIns="36000" rIns="36000" bIns="36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61312;o:allowoverlap:true;o:allowincell:true;mso-position-horizontal-relative:margin;margin-left:0.30pt;mso-position-horizontal:absolute;mso-position-vertical-relative:margin;margin-top:-2.85pt;mso-position-vertical:absolute;width:221.10pt;height:192.76pt;mso-wrap-distance-left:9.00pt;mso-wrap-distance-top:3.60pt;mso-wrap-distance-right:9.00pt;mso-wrap-distance-bottom:3.60pt;v-text-anchor:top;visibility:visible;" filled="f" stroked="f" strokeweight="0.25pt">
              <v:textbox inset="0,0,0,0">
                <w:txbxContent>
                  <w:sdt>
                    <w:sdtPr>
                      <w15:appearance w15:val="boundingBox"/>
                      <w:id w:val="-1221133429"/>
                      <w:lock w:val="contentLocked"/>
                      <w:placeholder>
                        <w:docPart w:val="DefaultPlaceholder_-1854013440"/>
                      </w:placeholder>
                      <w:rPr>
                        <w:color w:val="1f3864" w:themeColor="accent5" w:themeShade="80"/>
                        <w:sz w:val="20"/>
                        <w:szCs w:val="20"/>
                      </w:rPr>
                    </w:sdtPr>
                    <w:sdtContent>
                      <w:p>
                        <w:pPr>
                          <w:jc w:val="center"/>
                          <w:spacing w:line="240" w:lineRule="auto"/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ФЕДЕРАЛЬНАЯ СЛУЖБА 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ГОСУДАРСТВЕННОЙ РЕГИСТРАЦИИ, КАДАСТРА И КАРТОГРАФИИ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(РОСРЕЕСТР)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color w:val="1f3864" w:themeColor="accent5" w:themeShade="80"/>
                            <w:sz w:val="2"/>
                            <w:szCs w:val="2"/>
                          </w:rPr>
                        </w:pPr>
                        <w:r>
                          <w:rPr>
                            <w:color w:val="1f3864" w:themeColor="accent5" w:themeShade="80"/>
                            <w:sz w:val="2"/>
                            <w:szCs w:val="2"/>
                          </w:rPr>
                        </w:r>
                        <w:r>
                          <w:rPr>
                            <w:color w:val="1f3864" w:themeColor="accent5" w:themeShade="80"/>
                            <w:sz w:val="2"/>
                            <w:szCs w:val="2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b/>
                            <w:color w:val="1f3864" w:themeColor="accent5" w:themeShade="80"/>
                            <w:sz w:val="2"/>
                            <w:szCs w:val="2"/>
                          </w:rPr>
                        </w:pPr>
                        <w:r>
                          <w:rPr>
                            <w:b/>
                            <w:color w:val="1f3864" w:themeColor="accent5" w:themeShade="80"/>
                            <w:sz w:val="2"/>
                            <w:szCs w:val="2"/>
                          </w:rPr>
                        </w:r>
                        <w:r>
                          <w:rPr>
                            <w:b/>
                            <w:color w:val="1f3864" w:themeColor="accent5" w:themeShade="80"/>
                            <w:sz w:val="2"/>
                            <w:szCs w:val="2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УПРАВЛЕНИЕ ФЕДЕРАЛЬНОЙ СЛУЖБЫ ГОСУДАРСТВЕННОЙ РЕГИСТРАЦИИ, КАДАСТРА И КАРТОГРАФИИ </w:t>
                        </w:r>
                        <w:r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ПО АМУРСКОЙ ОБЛАСТИ</w:t>
                        </w:r>
                        <w:r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(Управление Росреестра по Амурской области)</w:t>
                        </w:r>
                        <w:r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b/>
                            <w:color w:val="1f3864" w:themeColor="accent5" w:themeShade="80"/>
                            <w:sz w:val="2"/>
                            <w:szCs w:val="2"/>
                          </w:rPr>
                        </w:pPr>
                        <w:r>
                          <w:rPr>
                            <w:b/>
                            <w:color w:val="1f3864" w:themeColor="accent5" w:themeShade="80"/>
                            <w:sz w:val="2"/>
                            <w:szCs w:val="2"/>
                          </w:rPr>
                        </w:r>
                        <w:r>
                          <w:rPr>
                            <w:b/>
                            <w:color w:val="1f3864" w:themeColor="accent5" w:themeShade="80"/>
                            <w:sz w:val="2"/>
                            <w:szCs w:val="2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Пограничный пер., д.10, г. Благовещенск, 675000 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Тел. (4162) 44-12-12, факс 44-12-13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  <w:lang w:val="en-US"/>
                          </w:rPr>
                          <w:t xml:space="preserve">E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-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  <w:lang w:val="en-US"/>
                          </w:rPr>
                          <w:t xml:space="preserve">mail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: 28_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  <w:lang w:val="en-US"/>
                          </w:rPr>
                          <w:t xml:space="preserve">upr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@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  <w:lang w:val="en-US"/>
                          </w:rPr>
                          <w:t xml:space="preserve">rosreest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  <w:lang w:val="en-US"/>
                          </w:rPr>
                          <w:t xml:space="preserve">r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.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  <w:lang w:val="en-US"/>
                          </w:rPr>
                          <w:t xml:space="preserve">ru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after="60" w:line="240" w:lineRule="auto"/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ОГРН 1042800036730, ИНН 2801100402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after="120" w:line="240" w:lineRule="auto"/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_________________№_______________________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На № _____________________ от _____________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2847" w:hanging="72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3207" w:hanging="360"/>
      </w:pPr>
      <w:rPr>
        <w:rFonts w:hint="default"/>
        <w:color w:val="000000" w:themeColor="text1"/>
      </w:rPr>
    </w:lvl>
    <w:lvl w:ilvl="2">
      <w:start w:val="1"/>
      <w:numFmt w:val="decimal"/>
      <w:isLgl/>
      <w:suff w:val="tab"/>
      <w:lvlText w:val="%1.%2.%3."/>
      <w:lvlJc w:val="left"/>
      <w:pPr>
        <w:ind w:left="4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608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680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788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6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687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8"/>
        <w:szCs w:val="22"/>
        <w:lang w:val="ru-RU" w:eastAsia="en-US" w:bidi="ar-SA"/>
      </w:rPr>
    </w:rPrDefault>
    <w:pPrDefault>
      <w:pPr>
        <w:spacing w:before="0" w:beforeAutospacing="0" w:after="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81" w:default="1">
    <w:name w:val="Normal"/>
    <w:qFormat/>
  </w:style>
  <w:style w:type="paragraph" w:styleId="782">
    <w:name w:val="Heading 1"/>
    <w:basedOn w:val="781"/>
    <w:next w:val="781"/>
    <w:link w:val="81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83">
    <w:name w:val="Heading 2"/>
    <w:basedOn w:val="781"/>
    <w:next w:val="781"/>
    <w:link w:val="81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84">
    <w:name w:val="Heading 3"/>
    <w:basedOn w:val="781"/>
    <w:next w:val="781"/>
    <w:link w:val="81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85">
    <w:name w:val="Heading 4"/>
    <w:basedOn w:val="781"/>
    <w:next w:val="781"/>
    <w:link w:val="81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6">
    <w:name w:val="Heading 5"/>
    <w:basedOn w:val="781"/>
    <w:next w:val="781"/>
    <w:link w:val="81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87">
    <w:name w:val="Heading 6"/>
    <w:basedOn w:val="781"/>
    <w:next w:val="781"/>
    <w:link w:val="81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</w:rPr>
  </w:style>
  <w:style w:type="paragraph" w:styleId="788">
    <w:name w:val="Heading 7"/>
    <w:basedOn w:val="781"/>
    <w:next w:val="781"/>
    <w:link w:val="81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789">
    <w:name w:val="Heading 8"/>
    <w:basedOn w:val="781"/>
    <w:next w:val="781"/>
    <w:link w:val="8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</w:rPr>
  </w:style>
  <w:style w:type="paragraph" w:styleId="790">
    <w:name w:val="Heading 9"/>
    <w:basedOn w:val="781"/>
    <w:next w:val="781"/>
    <w:link w:val="81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1" w:default="1">
    <w:name w:val="Default Paragraph Font"/>
    <w:uiPriority w:val="1"/>
    <w:semiHidden/>
    <w:unhideWhenUsed/>
  </w:style>
  <w:style w:type="table" w:styleId="7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3" w:default="1">
    <w:name w:val="No List"/>
    <w:uiPriority w:val="99"/>
    <w:semiHidden/>
    <w:unhideWhenUsed/>
  </w:style>
  <w:style w:type="character" w:styleId="794" w:customStyle="1">
    <w:name w:val="Heading 1 Char"/>
    <w:basedOn w:val="791"/>
    <w:uiPriority w:val="9"/>
    <w:rPr>
      <w:rFonts w:ascii="Arial" w:hAnsi="Arial" w:eastAsia="Arial" w:cs="Arial"/>
      <w:sz w:val="40"/>
      <w:szCs w:val="40"/>
    </w:rPr>
  </w:style>
  <w:style w:type="character" w:styleId="795" w:customStyle="1">
    <w:name w:val="Heading 2 Char"/>
    <w:basedOn w:val="791"/>
    <w:uiPriority w:val="9"/>
    <w:rPr>
      <w:rFonts w:ascii="Arial" w:hAnsi="Arial" w:eastAsia="Arial" w:cs="Arial"/>
      <w:sz w:val="34"/>
    </w:rPr>
  </w:style>
  <w:style w:type="character" w:styleId="796" w:customStyle="1">
    <w:name w:val="Heading 3 Char"/>
    <w:basedOn w:val="791"/>
    <w:uiPriority w:val="9"/>
    <w:rPr>
      <w:rFonts w:ascii="Arial" w:hAnsi="Arial" w:eastAsia="Arial" w:cs="Arial"/>
      <w:sz w:val="30"/>
      <w:szCs w:val="30"/>
    </w:rPr>
  </w:style>
  <w:style w:type="character" w:styleId="797" w:customStyle="1">
    <w:name w:val="Heading 4 Char"/>
    <w:basedOn w:val="791"/>
    <w:uiPriority w:val="9"/>
    <w:rPr>
      <w:rFonts w:ascii="Arial" w:hAnsi="Arial" w:eastAsia="Arial" w:cs="Arial"/>
      <w:b/>
      <w:bCs/>
      <w:sz w:val="26"/>
      <w:szCs w:val="26"/>
    </w:rPr>
  </w:style>
  <w:style w:type="character" w:styleId="798" w:customStyle="1">
    <w:name w:val="Heading 5 Char"/>
    <w:basedOn w:val="791"/>
    <w:uiPriority w:val="9"/>
    <w:rPr>
      <w:rFonts w:ascii="Arial" w:hAnsi="Arial" w:eastAsia="Arial" w:cs="Arial"/>
      <w:b/>
      <w:bCs/>
      <w:sz w:val="24"/>
      <w:szCs w:val="24"/>
    </w:rPr>
  </w:style>
  <w:style w:type="character" w:styleId="799" w:customStyle="1">
    <w:name w:val="Heading 6 Char"/>
    <w:basedOn w:val="791"/>
    <w:uiPriority w:val="9"/>
    <w:rPr>
      <w:rFonts w:ascii="Arial" w:hAnsi="Arial" w:eastAsia="Arial" w:cs="Arial"/>
      <w:b/>
      <w:bCs/>
      <w:sz w:val="22"/>
      <w:szCs w:val="22"/>
    </w:rPr>
  </w:style>
  <w:style w:type="character" w:styleId="800" w:customStyle="1">
    <w:name w:val="Heading 7 Char"/>
    <w:basedOn w:val="7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1" w:customStyle="1">
    <w:name w:val="Heading 8 Char"/>
    <w:basedOn w:val="791"/>
    <w:uiPriority w:val="9"/>
    <w:rPr>
      <w:rFonts w:ascii="Arial" w:hAnsi="Arial" w:eastAsia="Arial" w:cs="Arial"/>
      <w:i/>
      <w:iCs/>
      <w:sz w:val="22"/>
      <w:szCs w:val="22"/>
    </w:rPr>
  </w:style>
  <w:style w:type="character" w:styleId="802" w:customStyle="1">
    <w:name w:val="Heading 9 Char"/>
    <w:basedOn w:val="791"/>
    <w:uiPriority w:val="9"/>
    <w:rPr>
      <w:rFonts w:ascii="Arial" w:hAnsi="Arial" w:eastAsia="Arial" w:cs="Arial"/>
      <w:i/>
      <w:iCs/>
      <w:sz w:val="21"/>
      <w:szCs w:val="21"/>
    </w:rPr>
  </w:style>
  <w:style w:type="character" w:styleId="803" w:customStyle="1">
    <w:name w:val="Title Char"/>
    <w:basedOn w:val="791"/>
    <w:uiPriority w:val="10"/>
    <w:rPr>
      <w:sz w:val="48"/>
      <w:szCs w:val="48"/>
    </w:rPr>
  </w:style>
  <w:style w:type="character" w:styleId="804" w:customStyle="1">
    <w:name w:val="Subtitle Char"/>
    <w:basedOn w:val="791"/>
    <w:uiPriority w:val="11"/>
    <w:rPr>
      <w:sz w:val="24"/>
      <w:szCs w:val="24"/>
    </w:rPr>
  </w:style>
  <w:style w:type="character" w:styleId="805" w:customStyle="1">
    <w:name w:val="Quote Char"/>
    <w:uiPriority w:val="29"/>
    <w:rPr>
      <w:i/>
    </w:rPr>
  </w:style>
  <w:style w:type="character" w:styleId="806" w:customStyle="1">
    <w:name w:val="Intense Quote Char"/>
    <w:uiPriority w:val="30"/>
    <w:rPr>
      <w:i/>
    </w:rPr>
  </w:style>
  <w:style w:type="character" w:styleId="807" w:customStyle="1">
    <w:name w:val="Caption Char"/>
    <w:basedOn w:val="791"/>
    <w:uiPriority w:val="35"/>
    <w:rPr>
      <w:b/>
      <w:bCs/>
      <w:color w:val="5b9bd5" w:themeColor="accent1"/>
      <w:sz w:val="18"/>
      <w:szCs w:val="18"/>
    </w:rPr>
  </w:style>
  <w:style w:type="character" w:styleId="808" w:customStyle="1">
    <w:name w:val="Footnote Text Char"/>
    <w:uiPriority w:val="99"/>
    <w:rPr>
      <w:sz w:val="18"/>
    </w:rPr>
  </w:style>
  <w:style w:type="character" w:styleId="809" w:customStyle="1">
    <w:name w:val="Endnote Text Char"/>
    <w:uiPriority w:val="99"/>
    <w:rPr>
      <w:sz w:val="20"/>
    </w:rPr>
  </w:style>
  <w:style w:type="character" w:styleId="810" w:customStyle="1">
    <w:name w:val="Заголовок 1 Знак"/>
    <w:basedOn w:val="791"/>
    <w:link w:val="782"/>
    <w:uiPriority w:val="9"/>
    <w:rPr>
      <w:rFonts w:ascii="Arial" w:hAnsi="Arial" w:eastAsia="Arial" w:cs="Arial"/>
      <w:sz w:val="40"/>
      <w:szCs w:val="40"/>
    </w:rPr>
  </w:style>
  <w:style w:type="character" w:styleId="811" w:customStyle="1">
    <w:name w:val="Заголовок 2 Знак"/>
    <w:basedOn w:val="791"/>
    <w:link w:val="783"/>
    <w:uiPriority w:val="9"/>
    <w:rPr>
      <w:rFonts w:ascii="Arial" w:hAnsi="Arial" w:eastAsia="Arial" w:cs="Arial"/>
      <w:sz w:val="34"/>
    </w:rPr>
  </w:style>
  <w:style w:type="character" w:styleId="812" w:customStyle="1">
    <w:name w:val="Заголовок 3 Знак"/>
    <w:basedOn w:val="791"/>
    <w:link w:val="784"/>
    <w:uiPriority w:val="9"/>
    <w:rPr>
      <w:rFonts w:ascii="Arial" w:hAnsi="Arial" w:eastAsia="Arial" w:cs="Arial"/>
      <w:sz w:val="30"/>
      <w:szCs w:val="30"/>
    </w:rPr>
  </w:style>
  <w:style w:type="character" w:styleId="813" w:customStyle="1">
    <w:name w:val="Заголовок 4 Знак"/>
    <w:basedOn w:val="791"/>
    <w:link w:val="785"/>
    <w:uiPriority w:val="9"/>
    <w:rPr>
      <w:rFonts w:ascii="Arial" w:hAnsi="Arial" w:eastAsia="Arial" w:cs="Arial"/>
      <w:b/>
      <w:bCs/>
      <w:sz w:val="26"/>
      <w:szCs w:val="26"/>
    </w:rPr>
  </w:style>
  <w:style w:type="character" w:styleId="814" w:customStyle="1">
    <w:name w:val="Заголовок 5 Знак"/>
    <w:basedOn w:val="791"/>
    <w:link w:val="786"/>
    <w:uiPriority w:val="9"/>
    <w:rPr>
      <w:rFonts w:ascii="Arial" w:hAnsi="Arial" w:eastAsia="Arial" w:cs="Arial"/>
      <w:b/>
      <w:bCs/>
      <w:sz w:val="24"/>
      <w:szCs w:val="24"/>
    </w:rPr>
  </w:style>
  <w:style w:type="character" w:styleId="815" w:customStyle="1">
    <w:name w:val="Заголовок 6 Знак"/>
    <w:basedOn w:val="791"/>
    <w:link w:val="787"/>
    <w:uiPriority w:val="9"/>
    <w:rPr>
      <w:rFonts w:ascii="Arial" w:hAnsi="Arial" w:eastAsia="Arial" w:cs="Arial"/>
      <w:b/>
      <w:bCs/>
      <w:sz w:val="22"/>
      <w:szCs w:val="22"/>
    </w:rPr>
  </w:style>
  <w:style w:type="character" w:styleId="816" w:customStyle="1">
    <w:name w:val="Заголовок 7 Знак"/>
    <w:basedOn w:val="791"/>
    <w:link w:val="7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7" w:customStyle="1">
    <w:name w:val="Заголовок 8 Знак"/>
    <w:basedOn w:val="791"/>
    <w:link w:val="789"/>
    <w:uiPriority w:val="9"/>
    <w:rPr>
      <w:rFonts w:ascii="Arial" w:hAnsi="Arial" w:eastAsia="Arial" w:cs="Arial"/>
      <w:i/>
      <w:iCs/>
      <w:sz w:val="22"/>
      <w:szCs w:val="22"/>
    </w:rPr>
  </w:style>
  <w:style w:type="character" w:styleId="818" w:customStyle="1">
    <w:name w:val="Заголовок 9 Знак"/>
    <w:basedOn w:val="791"/>
    <w:link w:val="790"/>
    <w:uiPriority w:val="9"/>
    <w:rPr>
      <w:rFonts w:ascii="Arial" w:hAnsi="Arial" w:eastAsia="Arial" w:cs="Arial"/>
      <w:i/>
      <w:iCs/>
      <w:sz w:val="21"/>
      <w:szCs w:val="21"/>
    </w:rPr>
  </w:style>
  <w:style w:type="paragraph" w:styleId="819">
    <w:name w:val="No Spacing"/>
    <w:uiPriority w:val="1"/>
    <w:qFormat/>
    <w:pPr>
      <w:spacing w:line="240" w:lineRule="auto"/>
    </w:pPr>
  </w:style>
  <w:style w:type="paragraph" w:styleId="820">
    <w:name w:val="Title"/>
    <w:basedOn w:val="781"/>
    <w:next w:val="781"/>
    <w:link w:val="82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1" w:customStyle="1">
    <w:name w:val="Заголовок Знак"/>
    <w:basedOn w:val="791"/>
    <w:link w:val="820"/>
    <w:uiPriority w:val="10"/>
    <w:rPr>
      <w:sz w:val="48"/>
      <w:szCs w:val="48"/>
    </w:rPr>
  </w:style>
  <w:style w:type="paragraph" w:styleId="822">
    <w:name w:val="Subtitle"/>
    <w:basedOn w:val="781"/>
    <w:next w:val="781"/>
    <w:link w:val="823"/>
    <w:uiPriority w:val="11"/>
    <w:qFormat/>
    <w:pPr>
      <w:spacing w:before="200" w:after="200"/>
    </w:pPr>
    <w:rPr>
      <w:sz w:val="24"/>
      <w:szCs w:val="24"/>
    </w:rPr>
  </w:style>
  <w:style w:type="character" w:styleId="823" w:customStyle="1">
    <w:name w:val="Подзаголовок Знак"/>
    <w:basedOn w:val="791"/>
    <w:link w:val="822"/>
    <w:uiPriority w:val="11"/>
    <w:rPr>
      <w:sz w:val="24"/>
      <w:szCs w:val="24"/>
    </w:rPr>
  </w:style>
  <w:style w:type="paragraph" w:styleId="824">
    <w:name w:val="Quote"/>
    <w:basedOn w:val="781"/>
    <w:next w:val="781"/>
    <w:link w:val="825"/>
    <w:uiPriority w:val="29"/>
    <w:qFormat/>
    <w:pPr>
      <w:ind w:left="720" w:right="720"/>
    </w:pPr>
    <w:rPr>
      <w:i/>
    </w:rPr>
  </w:style>
  <w:style w:type="character" w:styleId="825" w:customStyle="1">
    <w:name w:val="Цитата 2 Знак"/>
    <w:link w:val="824"/>
    <w:uiPriority w:val="29"/>
    <w:rPr>
      <w:i/>
    </w:rPr>
  </w:style>
  <w:style w:type="paragraph" w:styleId="826">
    <w:name w:val="Intense Quote"/>
    <w:basedOn w:val="781"/>
    <w:next w:val="781"/>
    <w:link w:val="82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7" w:customStyle="1">
    <w:name w:val="Выделенная цитата Знак"/>
    <w:link w:val="826"/>
    <w:uiPriority w:val="30"/>
    <w:rPr>
      <w:i/>
    </w:rPr>
  </w:style>
  <w:style w:type="character" w:styleId="828" w:customStyle="1">
    <w:name w:val="Header Char"/>
    <w:basedOn w:val="791"/>
    <w:uiPriority w:val="99"/>
  </w:style>
  <w:style w:type="character" w:styleId="829" w:customStyle="1">
    <w:name w:val="Footer Char"/>
    <w:basedOn w:val="791"/>
    <w:uiPriority w:val="99"/>
  </w:style>
  <w:style w:type="paragraph" w:styleId="830">
    <w:name w:val="Caption"/>
    <w:basedOn w:val="781"/>
    <w:next w:val="781"/>
    <w:link w:val="831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831" w:customStyle="1">
    <w:name w:val="Название объекта Знак"/>
    <w:basedOn w:val="791"/>
    <w:link w:val="830"/>
    <w:uiPriority w:val="35"/>
    <w:rPr>
      <w:b/>
      <w:bCs/>
      <w:color w:val="5b9bd5" w:themeColor="accent1"/>
      <w:sz w:val="18"/>
      <w:szCs w:val="18"/>
    </w:rPr>
  </w:style>
  <w:style w:type="table" w:styleId="832">
    <w:name w:val="Table Grid"/>
    <w:basedOn w:val="792"/>
    <w:uiPriority w:val="59"/>
    <w:pPr>
      <w:spacing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3" w:customStyle="1">
    <w:name w:val="Table Grid Light"/>
    <w:basedOn w:val="792"/>
    <w:uiPriority w:val="59"/>
    <w:pPr>
      <w:spacing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4">
    <w:name w:val="Plain Table 1"/>
    <w:basedOn w:val="792"/>
    <w:uiPriority w:val="59"/>
    <w:pPr>
      <w:spacing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5">
    <w:name w:val="Plain Table 2"/>
    <w:basedOn w:val="792"/>
    <w:uiPriority w:val="59"/>
    <w:pPr>
      <w:spacing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6">
    <w:name w:val="Plain Table 3"/>
    <w:basedOn w:val="792"/>
    <w:uiPriority w:val="99"/>
    <w:pPr>
      <w:spacing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7">
    <w:name w:val="Plain Table 4"/>
    <w:basedOn w:val="792"/>
    <w:uiPriority w:val="99"/>
    <w:pPr>
      <w:spacing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Plain Table 5"/>
    <w:basedOn w:val="792"/>
    <w:uiPriority w:val="99"/>
    <w:pPr>
      <w:spacing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9">
    <w:name w:val="Grid Table 1 Light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Grid Table 1 Light - Accent 1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Grid Table 1 Light - Accent 2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Grid Table 1 Light - Accent 3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Grid Table 1 Light - Accent 4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Grid Table 1 Light - Accent 5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Grid Table 1 Light - Accent 6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Grid Table 2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2 - Accent 1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2 - Accent 2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2 - Accent 3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2 - Accent 4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2 - Accent 5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2 - Accent 6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3 - Accent 1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3 - Accent 2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3 - Accent 3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3 - Accent 4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3 - Accent 5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3 - Accent 6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4"/>
    <w:basedOn w:val="792"/>
    <w:uiPriority w:val="59"/>
    <w:pPr>
      <w:spacing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1" w:customStyle="1">
    <w:name w:val="Grid Table 4 - Accent 1"/>
    <w:basedOn w:val="792"/>
    <w:uiPriority w:val="59"/>
    <w:pPr>
      <w:spacing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62" w:customStyle="1">
    <w:name w:val="Grid Table 4 - Accent 2"/>
    <w:basedOn w:val="792"/>
    <w:uiPriority w:val="59"/>
    <w:pPr>
      <w:spacing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63" w:customStyle="1">
    <w:name w:val="Grid Table 4 - Accent 3"/>
    <w:basedOn w:val="792"/>
    <w:uiPriority w:val="59"/>
    <w:pPr>
      <w:spacing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64" w:customStyle="1">
    <w:name w:val="Grid Table 4 - Accent 4"/>
    <w:basedOn w:val="792"/>
    <w:uiPriority w:val="59"/>
    <w:pPr>
      <w:spacing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65" w:customStyle="1">
    <w:name w:val="Grid Table 4 - Accent 5"/>
    <w:basedOn w:val="792"/>
    <w:uiPriority w:val="59"/>
    <w:pPr>
      <w:spacing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66" w:customStyle="1">
    <w:name w:val="Grid Table 4 - Accent 6"/>
    <w:basedOn w:val="792"/>
    <w:uiPriority w:val="59"/>
    <w:pPr>
      <w:spacing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67">
    <w:name w:val="Grid Table 5 Dark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8" w:customStyle="1">
    <w:name w:val="Grid Table 5 Dark- Accent 1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69" w:customStyle="1">
    <w:name w:val="Grid Table 5 Dark - Accent 2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70" w:customStyle="1">
    <w:name w:val="Grid Table 5 Dark - Accent 3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71" w:customStyle="1">
    <w:name w:val="Grid Table 5 Dark- Accent 4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72" w:customStyle="1">
    <w:name w:val="Grid Table 5 Dark - Accent 5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73" w:customStyle="1">
    <w:name w:val="Grid Table 5 Dark - Accent 6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74">
    <w:name w:val="Grid Table 6 Colorful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5" w:customStyle="1">
    <w:name w:val="Grid Table 6 Colorful - Accent 1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76" w:customStyle="1">
    <w:name w:val="Grid Table 6 Colorful - Accent 2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77" w:customStyle="1">
    <w:name w:val="Grid Table 6 Colorful - Accent 3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78" w:customStyle="1">
    <w:name w:val="Grid Table 6 Colorful - Accent 4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79" w:customStyle="1">
    <w:name w:val="Grid Table 6 Colorful - Accent 5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80" w:customStyle="1">
    <w:name w:val="Grid Table 6 Colorful - Accent 6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81">
    <w:name w:val="Grid Table 7 Colorful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2" w:customStyle="1">
    <w:name w:val="Grid Table 7 Colorful - Accent 1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3" w:customStyle="1">
    <w:name w:val="Grid Table 7 Colorful - Accent 2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4" w:customStyle="1">
    <w:name w:val="Grid Table 7 Colorful - Accent 3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5" w:customStyle="1">
    <w:name w:val="Grid Table 7 Colorful - Accent 4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6" w:customStyle="1">
    <w:name w:val="Grid Table 7 Colorful - Accent 5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7" w:customStyle="1">
    <w:name w:val="Grid Table 7 Colorful - Accent 6"/>
    <w:basedOn w:val="792"/>
    <w:uiPriority w:val="99"/>
    <w:pPr>
      <w:spacing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8">
    <w:name w:val="List Table 1 Light"/>
    <w:basedOn w:val="792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1 Light - Accent 1"/>
    <w:basedOn w:val="792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1 Light - Accent 2"/>
    <w:basedOn w:val="792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1 Light - Accent 3"/>
    <w:basedOn w:val="792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1 Light - Accent 4"/>
    <w:basedOn w:val="792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1 Light - Accent 5"/>
    <w:basedOn w:val="792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1 Light - Accent 6"/>
    <w:basedOn w:val="792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List Table 2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6" w:customStyle="1">
    <w:name w:val="List Table 2 - Accent 1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97" w:customStyle="1">
    <w:name w:val="List Table 2 - Accent 2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98" w:customStyle="1">
    <w:name w:val="List Table 2 - Accent 3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99" w:customStyle="1">
    <w:name w:val="List Table 2 - Accent 4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00" w:customStyle="1">
    <w:name w:val="List Table 2 - Accent 5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01" w:customStyle="1">
    <w:name w:val="List Table 2 - Accent 6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02">
    <w:name w:val="List Table 3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3 - Accent 1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3 - Accent 2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3 - Accent 3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3 - Accent 4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3 - Accent 5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3 - Accent 6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4 - Accent 1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4 - Accent 2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4 - Accent 3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4 - Accent 4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4 - Accent 5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4 - Accent 6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5 Dark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7" w:customStyle="1">
    <w:name w:val="List Table 5 Dark - Accent 1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8" w:customStyle="1">
    <w:name w:val="List Table 5 Dark - Accent 2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9" w:customStyle="1">
    <w:name w:val="List Table 5 Dark - Accent 3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 w:customStyle="1">
    <w:name w:val="List Table 5 Dark - Accent 4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1" w:customStyle="1">
    <w:name w:val="List Table 5 Dark - Accent 5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2" w:customStyle="1">
    <w:name w:val="List Table 5 Dark - Accent 6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3">
    <w:name w:val="List Table 6 Colorful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4" w:customStyle="1">
    <w:name w:val="List Table 6 Colorful - Accent 1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25" w:customStyle="1">
    <w:name w:val="List Table 6 Colorful - Accent 2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26" w:customStyle="1">
    <w:name w:val="List Table 6 Colorful - Accent 3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27" w:customStyle="1">
    <w:name w:val="List Table 6 Colorful - Accent 4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28" w:customStyle="1">
    <w:name w:val="List Table 6 Colorful - Accent 5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29" w:customStyle="1">
    <w:name w:val="List Table 6 Colorful - Accent 6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30">
    <w:name w:val="List Table 7 Colorful"/>
    <w:basedOn w:val="792"/>
    <w:uiPriority w:val="99"/>
    <w:pPr>
      <w:spacing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1" w:customStyle="1">
    <w:name w:val="List Table 7 Colorful - Accent 1"/>
    <w:basedOn w:val="792"/>
    <w:uiPriority w:val="99"/>
    <w:pPr>
      <w:spacing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2" w:customStyle="1">
    <w:name w:val="List Table 7 Colorful - Accent 2"/>
    <w:basedOn w:val="792"/>
    <w:uiPriority w:val="99"/>
    <w:pPr>
      <w:spacing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3" w:customStyle="1">
    <w:name w:val="List Table 7 Colorful - Accent 3"/>
    <w:basedOn w:val="792"/>
    <w:uiPriority w:val="99"/>
    <w:pPr>
      <w:spacing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4" w:customStyle="1">
    <w:name w:val="List Table 7 Colorful - Accent 4"/>
    <w:basedOn w:val="792"/>
    <w:uiPriority w:val="99"/>
    <w:pPr>
      <w:spacing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5" w:customStyle="1">
    <w:name w:val="List Table 7 Colorful - Accent 5"/>
    <w:basedOn w:val="792"/>
    <w:uiPriority w:val="99"/>
    <w:pPr>
      <w:spacing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6" w:customStyle="1">
    <w:name w:val="List Table 7 Colorful - Accent 6"/>
    <w:basedOn w:val="792"/>
    <w:uiPriority w:val="99"/>
    <w:pPr>
      <w:spacing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7" w:customStyle="1">
    <w:name w:val="Lined - Accent"/>
    <w:basedOn w:val="792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8" w:customStyle="1">
    <w:name w:val="Lined - Accent 1"/>
    <w:basedOn w:val="792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39" w:customStyle="1">
    <w:name w:val="Lined - Accent 2"/>
    <w:basedOn w:val="792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40" w:customStyle="1">
    <w:name w:val="Lined - Accent 3"/>
    <w:basedOn w:val="792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41" w:customStyle="1">
    <w:name w:val="Lined - Accent 4"/>
    <w:basedOn w:val="792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42" w:customStyle="1">
    <w:name w:val="Lined - Accent 5"/>
    <w:basedOn w:val="792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43" w:customStyle="1">
    <w:name w:val="Lined - Accent 6"/>
    <w:basedOn w:val="792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44" w:customStyle="1">
    <w:name w:val="Bordered &amp; Lined - Accent"/>
    <w:basedOn w:val="792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5" w:customStyle="1">
    <w:name w:val="Bordered &amp; Lined - Accent 1"/>
    <w:basedOn w:val="792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46" w:customStyle="1">
    <w:name w:val="Bordered &amp; Lined - Accent 2"/>
    <w:basedOn w:val="792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47" w:customStyle="1">
    <w:name w:val="Bordered &amp; Lined - Accent 3"/>
    <w:basedOn w:val="792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48" w:customStyle="1">
    <w:name w:val="Bordered &amp; Lined - Accent 4"/>
    <w:basedOn w:val="792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49" w:customStyle="1">
    <w:name w:val="Bordered &amp; Lined - Accent 5"/>
    <w:basedOn w:val="792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50" w:customStyle="1">
    <w:name w:val="Bordered &amp; Lined - Accent 6"/>
    <w:basedOn w:val="792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51" w:customStyle="1">
    <w:name w:val="Bordered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2" w:customStyle="1">
    <w:name w:val="Bordered - Accent 1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53" w:customStyle="1">
    <w:name w:val="Bordered - Accent 2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54" w:customStyle="1">
    <w:name w:val="Bordered - Accent 3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55" w:customStyle="1">
    <w:name w:val="Bordered - Accent 4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56" w:customStyle="1">
    <w:name w:val="Bordered - Accent 5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57" w:customStyle="1">
    <w:name w:val="Bordered - Accent 6"/>
    <w:basedOn w:val="792"/>
    <w:uiPriority w:val="99"/>
    <w:pPr>
      <w:spacing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958">
    <w:name w:val="footnote text"/>
    <w:basedOn w:val="781"/>
    <w:link w:val="959"/>
    <w:uiPriority w:val="99"/>
    <w:semiHidden/>
    <w:unhideWhenUsed/>
    <w:pPr>
      <w:spacing w:after="40" w:line="240" w:lineRule="auto"/>
    </w:pPr>
    <w:rPr>
      <w:sz w:val="18"/>
    </w:rPr>
  </w:style>
  <w:style w:type="character" w:styleId="959" w:customStyle="1">
    <w:name w:val="Текст сноски Знак"/>
    <w:link w:val="958"/>
    <w:uiPriority w:val="99"/>
    <w:rPr>
      <w:sz w:val="18"/>
    </w:rPr>
  </w:style>
  <w:style w:type="character" w:styleId="960">
    <w:name w:val="footnote reference"/>
    <w:basedOn w:val="791"/>
    <w:uiPriority w:val="99"/>
    <w:unhideWhenUsed/>
    <w:rPr>
      <w:vertAlign w:val="superscript"/>
    </w:rPr>
  </w:style>
  <w:style w:type="paragraph" w:styleId="961">
    <w:name w:val="endnote text"/>
    <w:basedOn w:val="781"/>
    <w:link w:val="962"/>
    <w:uiPriority w:val="99"/>
    <w:semiHidden/>
    <w:unhideWhenUsed/>
    <w:pPr>
      <w:spacing w:line="240" w:lineRule="auto"/>
    </w:pPr>
    <w:rPr>
      <w:sz w:val="20"/>
    </w:rPr>
  </w:style>
  <w:style w:type="character" w:styleId="962" w:customStyle="1">
    <w:name w:val="Текст концевой сноски Знак"/>
    <w:link w:val="961"/>
    <w:uiPriority w:val="99"/>
    <w:rPr>
      <w:sz w:val="20"/>
    </w:rPr>
  </w:style>
  <w:style w:type="character" w:styleId="963">
    <w:name w:val="endnote reference"/>
    <w:basedOn w:val="791"/>
    <w:uiPriority w:val="99"/>
    <w:semiHidden/>
    <w:unhideWhenUsed/>
    <w:rPr>
      <w:vertAlign w:val="superscript"/>
    </w:rPr>
  </w:style>
  <w:style w:type="paragraph" w:styleId="964">
    <w:name w:val="toc 1"/>
    <w:basedOn w:val="781"/>
    <w:next w:val="781"/>
    <w:uiPriority w:val="39"/>
    <w:unhideWhenUsed/>
    <w:pPr>
      <w:spacing w:after="57"/>
    </w:pPr>
  </w:style>
  <w:style w:type="paragraph" w:styleId="965">
    <w:name w:val="toc 2"/>
    <w:basedOn w:val="781"/>
    <w:next w:val="781"/>
    <w:uiPriority w:val="39"/>
    <w:unhideWhenUsed/>
    <w:pPr>
      <w:ind w:left="283"/>
      <w:spacing w:after="57"/>
    </w:pPr>
  </w:style>
  <w:style w:type="paragraph" w:styleId="966">
    <w:name w:val="toc 3"/>
    <w:basedOn w:val="781"/>
    <w:next w:val="781"/>
    <w:uiPriority w:val="39"/>
    <w:unhideWhenUsed/>
    <w:pPr>
      <w:ind w:left="567"/>
      <w:spacing w:after="57"/>
    </w:pPr>
  </w:style>
  <w:style w:type="paragraph" w:styleId="967">
    <w:name w:val="toc 4"/>
    <w:basedOn w:val="781"/>
    <w:next w:val="781"/>
    <w:uiPriority w:val="39"/>
    <w:unhideWhenUsed/>
    <w:pPr>
      <w:ind w:left="850"/>
      <w:spacing w:after="57"/>
    </w:pPr>
  </w:style>
  <w:style w:type="paragraph" w:styleId="968">
    <w:name w:val="toc 5"/>
    <w:basedOn w:val="781"/>
    <w:next w:val="781"/>
    <w:uiPriority w:val="39"/>
    <w:unhideWhenUsed/>
    <w:pPr>
      <w:ind w:left="1134"/>
      <w:spacing w:after="57"/>
    </w:pPr>
  </w:style>
  <w:style w:type="paragraph" w:styleId="969">
    <w:name w:val="toc 6"/>
    <w:basedOn w:val="781"/>
    <w:next w:val="781"/>
    <w:uiPriority w:val="39"/>
    <w:unhideWhenUsed/>
    <w:pPr>
      <w:ind w:left="1417"/>
      <w:spacing w:after="57"/>
    </w:pPr>
  </w:style>
  <w:style w:type="paragraph" w:styleId="970">
    <w:name w:val="toc 7"/>
    <w:basedOn w:val="781"/>
    <w:next w:val="781"/>
    <w:uiPriority w:val="39"/>
    <w:unhideWhenUsed/>
    <w:pPr>
      <w:ind w:left="1701"/>
      <w:spacing w:after="57"/>
    </w:pPr>
  </w:style>
  <w:style w:type="paragraph" w:styleId="971">
    <w:name w:val="toc 8"/>
    <w:basedOn w:val="781"/>
    <w:next w:val="781"/>
    <w:uiPriority w:val="39"/>
    <w:unhideWhenUsed/>
    <w:pPr>
      <w:ind w:left="1984"/>
      <w:spacing w:after="57"/>
    </w:pPr>
  </w:style>
  <w:style w:type="paragraph" w:styleId="972">
    <w:name w:val="toc 9"/>
    <w:basedOn w:val="781"/>
    <w:next w:val="781"/>
    <w:uiPriority w:val="39"/>
    <w:unhideWhenUsed/>
    <w:pPr>
      <w:ind w:left="2268"/>
      <w:spacing w:after="57"/>
    </w:pPr>
  </w:style>
  <w:style w:type="paragraph" w:styleId="973">
    <w:name w:val="TOC Heading"/>
    <w:uiPriority w:val="39"/>
    <w:unhideWhenUsed/>
  </w:style>
  <w:style w:type="paragraph" w:styleId="974">
    <w:name w:val="table of figures"/>
    <w:basedOn w:val="781"/>
    <w:next w:val="781"/>
    <w:uiPriority w:val="99"/>
    <w:unhideWhenUsed/>
  </w:style>
  <w:style w:type="paragraph" w:styleId="975">
    <w:name w:val="Balloon Text"/>
    <w:basedOn w:val="781"/>
    <w:link w:val="976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976" w:customStyle="1">
    <w:name w:val="Текст выноски Знак"/>
    <w:basedOn w:val="791"/>
    <w:link w:val="975"/>
    <w:uiPriority w:val="99"/>
    <w:semiHidden/>
    <w:rPr>
      <w:rFonts w:ascii="Segoe UI" w:hAnsi="Segoe UI" w:cs="Segoe UI"/>
      <w:sz w:val="18"/>
      <w:szCs w:val="18"/>
    </w:rPr>
  </w:style>
  <w:style w:type="paragraph" w:styleId="977">
    <w:name w:val="Header"/>
    <w:basedOn w:val="781"/>
    <w:link w:val="978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78" w:customStyle="1">
    <w:name w:val="Верхний колонтитул Знак"/>
    <w:basedOn w:val="791"/>
    <w:link w:val="977"/>
    <w:uiPriority w:val="99"/>
  </w:style>
  <w:style w:type="paragraph" w:styleId="979">
    <w:name w:val="Footer"/>
    <w:basedOn w:val="781"/>
    <w:link w:val="980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80" w:customStyle="1">
    <w:name w:val="Нижний колонтитул Знак"/>
    <w:basedOn w:val="791"/>
    <w:link w:val="979"/>
    <w:uiPriority w:val="99"/>
  </w:style>
  <w:style w:type="character" w:styleId="981">
    <w:name w:val="Hyperlink"/>
    <w:basedOn w:val="791"/>
    <w:uiPriority w:val="99"/>
    <w:unhideWhenUsed/>
    <w:rPr>
      <w:color w:val="0563c1" w:themeColor="hyperlink"/>
      <w:u w:val="single"/>
    </w:rPr>
  </w:style>
  <w:style w:type="character" w:styleId="982">
    <w:name w:val="Placeholder Text"/>
    <w:basedOn w:val="791"/>
    <w:uiPriority w:val="99"/>
    <w:semiHidden/>
    <w:rPr>
      <w:color w:val="808080"/>
    </w:rPr>
  </w:style>
  <w:style w:type="paragraph" w:styleId="983">
    <w:name w:val="Normal (Web)"/>
    <w:basedOn w:val="781"/>
    <w:uiPriority w:val="99"/>
    <w:unhideWhenUsed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984">
    <w:name w:val="List Paragraph"/>
    <w:basedOn w:val="781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glossaryDocument" Target="glossary/document.xml" /><Relationship Id="rId7" Type="http://schemas.openxmlformats.org/officeDocument/2006/relationships/numbering" Target="numbering.xml" /><Relationship Id="rId8" Type="http://schemas.openxmlformats.org/officeDocument/2006/relationships/footnotes" Target="footnotes.xml" /><Relationship Id="rId9" Type="http://schemas.openxmlformats.org/officeDocument/2006/relationships/endnotes" Target="endnote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hyperlink" Target="https://ki-rf.ru/wp-content/uploads/2026/06/%D0%A0%D0%B5%D0%BA%D0%BE%D0%BC%D0%B5%D0%BD%D0%B4%D0%B0%D1%86%D0%B8%D0%B8-%D0%BF%D0%BE-%D0%BF%D0%BE%D0%B4%D0%B0%D1%87%D0%B5-%D0%A2%D0%9F-%D0%B8-%D0%9C%D0%9F-%D0%B2-%D0%A0%D0%A0.pd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glossary/_rels/comments.xml.rels><?xml version="1.0" encoding="UTF-8" standalone="yes"?><Relationships xmlns="http://schemas.openxmlformats.org/package/2006/relationships"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word/glossary/_rels/endnotes.xml.rels><?xml version="1.0" encoding="UTF-8" standalone="yes"?><Relationships xmlns="http://schemas.openxmlformats.org/package/2006/relationships"></Relationships>
</file>

<file path=word/glossary/_rels/footnotes.xml.rels><?xml version="1.0" encoding="UTF-8" standalone="yes"?><Relationships xmlns="http://schemas.openxmlformats.org/package/2006/relationships"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597A4C-56EC-49DE-BFF1-3EBAEC0E15C4}"/>
      </w:docPartPr>
      <w:docPartBody>
        <w:p>
          <w:r>
            <w:rPr>
              <w:rStyle w:val="1652"/>
            </w:rPr>
            <w:t xml:space="preserve">Место для ввода текста.</w:t>
          </w:r>
          <w:r/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52" w:default="1">
    <w:name w:val="Normal"/>
    <w:qFormat/>
  </w:style>
  <w:style w:type="paragraph" w:styleId="1453">
    <w:name w:val="Heading 1"/>
    <w:basedOn w:val="1452"/>
    <w:next w:val="1452"/>
    <w:link w:val="14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1454">
    <w:name w:val="Heading 2"/>
    <w:basedOn w:val="1452"/>
    <w:next w:val="1452"/>
    <w:link w:val="14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1455">
    <w:name w:val="Heading 3"/>
    <w:basedOn w:val="1452"/>
    <w:next w:val="1452"/>
    <w:link w:val="14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1456">
    <w:name w:val="Heading 4"/>
    <w:basedOn w:val="1452"/>
    <w:next w:val="1452"/>
    <w:link w:val="14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1457">
    <w:name w:val="Heading 5"/>
    <w:basedOn w:val="1452"/>
    <w:next w:val="1452"/>
    <w:link w:val="14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1458">
    <w:name w:val="Heading 6"/>
    <w:basedOn w:val="1452"/>
    <w:next w:val="1452"/>
    <w:link w:val="148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1459">
    <w:name w:val="Heading 7"/>
    <w:basedOn w:val="1452"/>
    <w:next w:val="1452"/>
    <w:link w:val="14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1460">
    <w:name w:val="Heading 8"/>
    <w:basedOn w:val="1452"/>
    <w:next w:val="1452"/>
    <w:link w:val="14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1461">
    <w:name w:val="Heading 9"/>
    <w:basedOn w:val="1452"/>
    <w:next w:val="1452"/>
    <w:link w:val="14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462" w:default="1">
    <w:name w:val="Default Paragraph Font"/>
    <w:uiPriority w:val="1"/>
    <w:semiHidden/>
    <w:unhideWhenUsed/>
  </w:style>
  <w:style w:type="table" w:styleId="146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464" w:default="1">
    <w:name w:val="No List"/>
    <w:uiPriority w:val="99"/>
    <w:semiHidden/>
    <w:unhideWhenUsed/>
  </w:style>
  <w:style w:type="character" w:styleId="1465" w:customStyle="1">
    <w:name w:val="Heading 1 Char"/>
    <w:basedOn w:val="1462"/>
    <w:uiPriority w:val="9"/>
    <w:rPr>
      <w:rFonts w:ascii="Arial" w:hAnsi="Arial" w:eastAsia="Arial" w:cs="Arial"/>
      <w:sz w:val="40"/>
      <w:szCs w:val="40"/>
    </w:rPr>
  </w:style>
  <w:style w:type="character" w:styleId="1466" w:customStyle="1">
    <w:name w:val="Heading 2 Char"/>
    <w:basedOn w:val="1462"/>
    <w:uiPriority w:val="9"/>
    <w:rPr>
      <w:rFonts w:ascii="Arial" w:hAnsi="Arial" w:eastAsia="Arial" w:cs="Arial"/>
      <w:sz w:val="34"/>
    </w:rPr>
  </w:style>
  <w:style w:type="character" w:styleId="1467" w:customStyle="1">
    <w:name w:val="Heading 3 Char"/>
    <w:basedOn w:val="1462"/>
    <w:uiPriority w:val="9"/>
    <w:rPr>
      <w:rFonts w:ascii="Arial" w:hAnsi="Arial" w:eastAsia="Arial" w:cs="Arial"/>
      <w:sz w:val="30"/>
      <w:szCs w:val="30"/>
    </w:rPr>
  </w:style>
  <w:style w:type="character" w:styleId="1468" w:customStyle="1">
    <w:name w:val="Heading 4 Char"/>
    <w:basedOn w:val="1462"/>
    <w:uiPriority w:val="9"/>
    <w:rPr>
      <w:rFonts w:ascii="Arial" w:hAnsi="Arial" w:eastAsia="Arial" w:cs="Arial"/>
      <w:b/>
      <w:bCs/>
      <w:sz w:val="26"/>
      <w:szCs w:val="26"/>
    </w:rPr>
  </w:style>
  <w:style w:type="character" w:styleId="1469" w:customStyle="1">
    <w:name w:val="Heading 5 Char"/>
    <w:basedOn w:val="1462"/>
    <w:uiPriority w:val="9"/>
    <w:rPr>
      <w:rFonts w:ascii="Arial" w:hAnsi="Arial" w:eastAsia="Arial" w:cs="Arial"/>
      <w:b/>
      <w:bCs/>
      <w:sz w:val="24"/>
      <w:szCs w:val="24"/>
    </w:rPr>
  </w:style>
  <w:style w:type="character" w:styleId="1470" w:customStyle="1">
    <w:name w:val="Heading 6 Char"/>
    <w:basedOn w:val="1462"/>
    <w:uiPriority w:val="9"/>
    <w:rPr>
      <w:rFonts w:ascii="Arial" w:hAnsi="Arial" w:eastAsia="Arial" w:cs="Arial"/>
      <w:b/>
      <w:bCs/>
      <w:sz w:val="22"/>
      <w:szCs w:val="22"/>
    </w:rPr>
  </w:style>
  <w:style w:type="character" w:styleId="1471" w:customStyle="1">
    <w:name w:val="Heading 7 Char"/>
    <w:basedOn w:val="14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472" w:customStyle="1">
    <w:name w:val="Heading 8 Char"/>
    <w:basedOn w:val="1462"/>
    <w:uiPriority w:val="9"/>
    <w:rPr>
      <w:rFonts w:ascii="Arial" w:hAnsi="Arial" w:eastAsia="Arial" w:cs="Arial"/>
      <w:i/>
      <w:iCs/>
      <w:sz w:val="22"/>
      <w:szCs w:val="22"/>
    </w:rPr>
  </w:style>
  <w:style w:type="character" w:styleId="1473" w:customStyle="1">
    <w:name w:val="Heading 9 Char"/>
    <w:basedOn w:val="1462"/>
    <w:uiPriority w:val="9"/>
    <w:rPr>
      <w:rFonts w:ascii="Arial" w:hAnsi="Arial" w:eastAsia="Arial" w:cs="Arial"/>
      <w:i/>
      <w:iCs/>
      <w:sz w:val="21"/>
      <w:szCs w:val="21"/>
    </w:rPr>
  </w:style>
  <w:style w:type="character" w:styleId="1474" w:customStyle="1">
    <w:name w:val="Title Char"/>
    <w:basedOn w:val="1462"/>
    <w:uiPriority w:val="10"/>
    <w:rPr>
      <w:sz w:val="48"/>
      <w:szCs w:val="48"/>
    </w:rPr>
  </w:style>
  <w:style w:type="character" w:styleId="1475" w:customStyle="1">
    <w:name w:val="Subtitle Char"/>
    <w:basedOn w:val="1462"/>
    <w:uiPriority w:val="11"/>
    <w:rPr>
      <w:sz w:val="24"/>
      <w:szCs w:val="24"/>
    </w:rPr>
  </w:style>
  <w:style w:type="character" w:styleId="1476" w:customStyle="1">
    <w:name w:val="Quote Char"/>
    <w:uiPriority w:val="29"/>
    <w:rPr>
      <w:i/>
    </w:rPr>
  </w:style>
  <w:style w:type="character" w:styleId="1477" w:customStyle="1">
    <w:name w:val="Intense Quote Char"/>
    <w:uiPriority w:val="30"/>
    <w:rPr>
      <w:i/>
    </w:rPr>
  </w:style>
  <w:style w:type="character" w:styleId="1478" w:customStyle="1">
    <w:name w:val="Header Char"/>
    <w:basedOn w:val="1462"/>
    <w:uiPriority w:val="99"/>
  </w:style>
  <w:style w:type="character" w:styleId="1479" w:customStyle="1">
    <w:name w:val="Footer Char"/>
    <w:basedOn w:val="1462"/>
    <w:uiPriority w:val="99"/>
  </w:style>
  <w:style w:type="character" w:styleId="1480" w:customStyle="1">
    <w:name w:val="Caption Char"/>
    <w:basedOn w:val="1462"/>
    <w:uiPriority w:val="35"/>
    <w:rPr>
      <w:b/>
      <w:bCs/>
      <w:color w:val="5b9bd5" w:themeColor="accent1"/>
      <w:sz w:val="18"/>
      <w:szCs w:val="18"/>
    </w:rPr>
  </w:style>
  <w:style w:type="character" w:styleId="1481" w:customStyle="1">
    <w:name w:val="Footnote Text Char"/>
    <w:uiPriority w:val="99"/>
    <w:rPr>
      <w:sz w:val="18"/>
    </w:rPr>
  </w:style>
  <w:style w:type="character" w:styleId="1482" w:customStyle="1">
    <w:name w:val="Endnote Text Char"/>
    <w:uiPriority w:val="99"/>
    <w:rPr>
      <w:sz w:val="20"/>
    </w:rPr>
  </w:style>
  <w:style w:type="character" w:styleId="1483" w:customStyle="1">
    <w:name w:val="Заголовок 1 Знак"/>
    <w:basedOn w:val="1462"/>
    <w:link w:val="1453"/>
    <w:uiPriority w:val="9"/>
    <w:rPr>
      <w:rFonts w:ascii="Arial" w:hAnsi="Arial" w:eastAsia="Arial" w:cs="Arial"/>
      <w:sz w:val="40"/>
      <w:szCs w:val="40"/>
    </w:rPr>
  </w:style>
  <w:style w:type="character" w:styleId="1484" w:customStyle="1">
    <w:name w:val="Заголовок 2 Знак"/>
    <w:basedOn w:val="1462"/>
    <w:link w:val="1454"/>
    <w:uiPriority w:val="9"/>
    <w:rPr>
      <w:rFonts w:ascii="Arial" w:hAnsi="Arial" w:eastAsia="Arial" w:cs="Arial"/>
      <w:sz w:val="34"/>
    </w:rPr>
  </w:style>
  <w:style w:type="character" w:styleId="1485" w:customStyle="1">
    <w:name w:val="Заголовок 3 Знак"/>
    <w:basedOn w:val="1462"/>
    <w:link w:val="1455"/>
    <w:uiPriority w:val="9"/>
    <w:rPr>
      <w:rFonts w:ascii="Arial" w:hAnsi="Arial" w:eastAsia="Arial" w:cs="Arial"/>
      <w:sz w:val="30"/>
      <w:szCs w:val="30"/>
    </w:rPr>
  </w:style>
  <w:style w:type="character" w:styleId="1486" w:customStyle="1">
    <w:name w:val="Заголовок 4 Знак"/>
    <w:basedOn w:val="1462"/>
    <w:link w:val="1456"/>
    <w:uiPriority w:val="9"/>
    <w:rPr>
      <w:rFonts w:ascii="Arial" w:hAnsi="Arial" w:eastAsia="Arial" w:cs="Arial"/>
      <w:b/>
      <w:bCs/>
      <w:sz w:val="26"/>
      <w:szCs w:val="26"/>
    </w:rPr>
  </w:style>
  <w:style w:type="character" w:styleId="1487" w:customStyle="1">
    <w:name w:val="Заголовок 5 Знак"/>
    <w:basedOn w:val="1462"/>
    <w:link w:val="1457"/>
    <w:uiPriority w:val="9"/>
    <w:rPr>
      <w:rFonts w:ascii="Arial" w:hAnsi="Arial" w:eastAsia="Arial" w:cs="Arial"/>
      <w:b/>
      <w:bCs/>
      <w:sz w:val="24"/>
      <w:szCs w:val="24"/>
    </w:rPr>
  </w:style>
  <w:style w:type="character" w:styleId="1488" w:customStyle="1">
    <w:name w:val="Заголовок 6 Знак"/>
    <w:basedOn w:val="1462"/>
    <w:link w:val="1458"/>
    <w:uiPriority w:val="9"/>
    <w:rPr>
      <w:rFonts w:ascii="Arial" w:hAnsi="Arial" w:eastAsia="Arial" w:cs="Arial"/>
      <w:b/>
      <w:bCs/>
      <w:sz w:val="22"/>
      <w:szCs w:val="22"/>
    </w:rPr>
  </w:style>
  <w:style w:type="character" w:styleId="1489" w:customStyle="1">
    <w:name w:val="Заголовок 7 Знак"/>
    <w:basedOn w:val="1462"/>
    <w:link w:val="145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490" w:customStyle="1">
    <w:name w:val="Заголовок 8 Знак"/>
    <w:basedOn w:val="1462"/>
    <w:link w:val="1460"/>
    <w:uiPriority w:val="9"/>
    <w:rPr>
      <w:rFonts w:ascii="Arial" w:hAnsi="Arial" w:eastAsia="Arial" w:cs="Arial"/>
      <w:i/>
      <w:iCs/>
      <w:sz w:val="22"/>
      <w:szCs w:val="22"/>
    </w:rPr>
  </w:style>
  <w:style w:type="character" w:styleId="1491" w:customStyle="1">
    <w:name w:val="Заголовок 9 Знак"/>
    <w:basedOn w:val="1462"/>
    <w:link w:val="1461"/>
    <w:uiPriority w:val="9"/>
    <w:rPr>
      <w:rFonts w:ascii="Arial" w:hAnsi="Arial" w:eastAsia="Arial" w:cs="Arial"/>
      <w:i/>
      <w:iCs/>
      <w:sz w:val="21"/>
      <w:szCs w:val="21"/>
    </w:rPr>
  </w:style>
  <w:style w:type="paragraph" w:styleId="1492">
    <w:name w:val="List Paragraph"/>
    <w:basedOn w:val="1452"/>
    <w:uiPriority w:val="34"/>
    <w:qFormat/>
    <w:pPr>
      <w:contextualSpacing/>
      <w:ind w:left="720"/>
    </w:pPr>
  </w:style>
  <w:style w:type="paragraph" w:styleId="1493">
    <w:name w:val="No Spacing"/>
    <w:uiPriority w:val="1"/>
    <w:qFormat/>
    <w:pPr>
      <w:spacing w:after="0" w:line="240" w:lineRule="auto"/>
    </w:pPr>
  </w:style>
  <w:style w:type="paragraph" w:styleId="1494">
    <w:name w:val="Title"/>
    <w:basedOn w:val="1452"/>
    <w:next w:val="1452"/>
    <w:link w:val="14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495" w:customStyle="1">
    <w:name w:val="Заголовок Знак"/>
    <w:basedOn w:val="1462"/>
    <w:link w:val="1494"/>
    <w:uiPriority w:val="10"/>
    <w:rPr>
      <w:sz w:val="48"/>
      <w:szCs w:val="48"/>
    </w:rPr>
  </w:style>
  <w:style w:type="paragraph" w:styleId="1496">
    <w:name w:val="Subtitle"/>
    <w:basedOn w:val="1452"/>
    <w:next w:val="1452"/>
    <w:link w:val="1497"/>
    <w:uiPriority w:val="11"/>
    <w:qFormat/>
    <w:pPr>
      <w:spacing w:before="200" w:after="200"/>
    </w:pPr>
    <w:rPr>
      <w:sz w:val="24"/>
      <w:szCs w:val="24"/>
    </w:rPr>
  </w:style>
  <w:style w:type="character" w:styleId="1497" w:customStyle="1">
    <w:name w:val="Подзаголовок Знак"/>
    <w:basedOn w:val="1462"/>
    <w:link w:val="1496"/>
    <w:uiPriority w:val="11"/>
    <w:rPr>
      <w:sz w:val="24"/>
      <w:szCs w:val="24"/>
    </w:rPr>
  </w:style>
  <w:style w:type="paragraph" w:styleId="1498">
    <w:name w:val="Quote"/>
    <w:basedOn w:val="1452"/>
    <w:next w:val="1452"/>
    <w:link w:val="1499"/>
    <w:uiPriority w:val="29"/>
    <w:qFormat/>
    <w:pPr>
      <w:ind w:left="720" w:right="720"/>
    </w:pPr>
    <w:rPr>
      <w:i/>
    </w:rPr>
  </w:style>
  <w:style w:type="character" w:styleId="1499" w:customStyle="1">
    <w:name w:val="Цитата 2 Знак"/>
    <w:link w:val="1498"/>
    <w:uiPriority w:val="29"/>
    <w:rPr>
      <w:i/>
    </w:rPr>
  </w:style>
  <w:style w:type="paragraph" w:styleId="1500">
    <w:name w:val="Intense Quote"/>
    <w:basedOn w:val="1452"/>
    <w:next w:val="1452"/>
    <w:link w:val="150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501" w:customStyle="1">
    <w:name w:val="Выделенная цитата Знак"/>
    <w:link w:val="1500"/>
    <w:uiPriority w:val="30"/>
    <w:rPr>
      <w:i/>
    </w:rPr>
  </w:style>
  <w:style w:type="paragraph" w:styleId="1502">
    <w:name w:val="Header"/>
    <w:basedOn w:val="1452"/>
    <w:link w:val="15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503" w:customStyle="1">
    <w:name w:val="Верхний колонтитул Знак"/>
    <w:basedOn w:val="1462"/>
    <w:link w:val="1502"/>
    <w:uiPriority w:val="99"/>
  </w:style>
  <w:style w:type="paragraph" w:styleId="1504">
    <w:name w:val="Footer"/>
    <w:basedOn w:val="1452"/>
    <w:link w:val="15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505" w:customStyle="1">
    <w:name w:val="Нижний колонтитул Знак"/>
    <w:basedOn w:val="1462"/>
    <w:link w:val="1504"/>
    <w:uiPriority w:val="99"/>
  </w:style>
  <w:style w:type="paragraph" w:styleId="1506">
    <w:name w:val="Caption"/>
    <w:basedOn w:val="1452"/>
    <w:next w:val="1452"/>
    <w:link w:val="1507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1507" w:customStyle="1">
    <w:name w:val="Название объекта Знак"/>
    <w:basedOn w:val="1462"/>
    <w:link w:val="1506"/>
    <w:uiPriority w:val="35"/>
    <w:rPr>
      <w:b/>
      <w:bCs/>
      <w:color w:val="5b9bd5" w:themeColor="accent1"/>
      <w:sz w:val="18"/>
      <w:szCs w:val="18"/>
    </w:rPr>
  </w:style>
  <w:style w:type="table" w:styleId="1508">
    <w:name w:val="Table Grid"/>
    <w:basedOn w:val="146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509" w:customStyle="1">
    <w:name w:val="Table Grid Light"/>
    <w:basedOn w:val="146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510">
    <w:name w:val="Plain Table 1"/>
    <w:basedOn w:val="146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511">
    <w:name w:val="Plain Table 2"/>
    <w:basedOn w:val="146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512">
    <w:name w:val="Plain Table 3"/>
    <w:basedOn w:val="14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513">
    <w:name w:val="Plain Table 4"/>
    <w:basedOn w:val="14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14">
    <w:name w:val="Plain Table 5"/>
    <w:basedOn w:val="14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515">
    <w:name w:val="Grid Table 1 Light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16" w:customStyle="1">
    <w:name w:val="Grid Table 1 Light - Accent 1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17" w:customStyle="1">
    <w:name w:val="Grid Table 1 Light - Accent 2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18" w:customStyle="1">
    <w:name w:val="Grid Table 1 Light - Accent 3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19" w:customStyle="1">
    <w:name w:val="Grid Table 1 Light - Accent 4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20" w:customStyle="1">
    <w:name w:val="Grid Table 1 Light - Accent 5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21" w:customStyle="1">
    <w:name w:val="Grid Table 1 Light - Accent 6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22">
    <w:name w:val="Grid Table 2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3" w:customStyle="1">
    <w:name w:val="Grid Table 2 - Accent 1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4" w:customStyle="1">
    <w:name w:val="Grid Table 2 - Accent 2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5" w:customStyle="1">
    <w:name w:val="Grid Table 2 - Accent 3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6" w:customStyle="1">
    <w:name w:val="Grid Table 2 - Accent 4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7" w:customStyle="1">
    <w:name w:val="Grid Table 2 - Accent 5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8" w:customStyle="1">
    <w:name w:val="Grid Table 2 - Accent 6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9">
    <w:name w:val="Grid Table 3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30" w:customStyle="1">
    <w:name w:val="Grid Table 3 - Accent 1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31" w:customStyle="1">
    <w:name w:val="Grid Table 3 - Accent 2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32" w:customStyle="1">
    <w:name w:val="Grid Table 3 - Accent 3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33" w:customStyle="1">
    <w:name w:val="Grid Table 3 - Accent 4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34" w:customStyle="1">
    <w:name w:val="Grid Table 3 - Accent 5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35" w:customStyle="1">
    <w:name w:val="Grid Table 3 - Accent 6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36">
    <w:name w:val="Grid Table 4"/>
    <w:basedOn w:val="146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537" w:customStyle="1">
    <w:name w:val="Grid Table 4 - Accent 1"/>
    <w:basedOn w:val="146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538" w:customStyle="1">
    <w:name w:val="Grid Table 4 - Accent 2"/>
    <w:basedOn w:val="146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539" w:customStyle="1">
    <w:name w:val="Grid Table 4 - Accent 3"/>
    <w:basedOn w:val="146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540" w:customStyle="1">
    <w:name w:val="Grid Table 4 - Accent 4"/>
    <w:basedOn w:val="146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541" w:customStyle="1">
    <w:name w:val="Grid Table 4 - Accent 5"/>
    <w:basedOn w:val="146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542" w:customStyle="1">
    <w:name w:val="Grid Table 4 - Accent 6"/>
    <w:basedOn w:val="146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543">
    <w:name w:val="Grid Table 5 Dark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544" w:customStyle="1">
    <w:name w:val="Grid Table 5 Dark- Accent 1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545" w:customStyle="1">
    <w:name w:val="Grid Table 5 Dark - Accent 2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546" w:customStyle="1">
    <w:name w:val="Grid Table 5 Dark - Accent 3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547" w:customStyle="1">
    <w:name w:val="Grid Table 5 Dark- Accent 4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548" w:customStyle="1">
    <w:name w:val="Grid Table 5 Dark - Accent 5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549" w:customStyle="1">
    <w:name w:val="Grid Table 5 Dark - Accent 6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550">
    <w:name w:val="Grid Table 6 Colorful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551" w:customStyle="1">
    <w:name w:val="Grid Table 6 Colorful - Accent 1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552" w:customStyle="1">
    <w:name w:val="Grid Table 6 Colorful - Accent 2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553" w:customStyle="1">
    <w:name w:val="Grid Table 6 Colorful - Accent 3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554" w:customStyle="1">
    <w:name w:val="Grid Table 6 Colorful - Accent 4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555" w:customStyle="1">
    <w:name w:val="Grid Table 6 Colorful - Accent 5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556" w:customStyle="1">
    <w:name w:val="Grid Table 6 Colorful - Accent 6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557">
    <w:name w:val="Grid Table 7 Colorful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558" w:customStyle="1">
    <w:name w:val="Grid Table 7 Colorful - Accent 1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559" w:customStyle="1">
    <w:name w:val="Grid Table 7 Colorful - Accent 2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560" w:customStyle="1">
    <w:name w:val="Grid Table 7 Colorful - Accent 3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561" w:customStyle="1">
    <w:name w:val="Grid Table 7 Colorful - Accent 4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562" w:customStyle="1">
    <w:name w:val="Grid Table 7 Colorful - Accent 5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563" w:customStyle="1">
    <w:name w:val="Grid Table 7 Colorful - Accent 6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564">
    <w:name w:val="List Table 1 Light"/>
    <w:basedOn w:val="14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5" w:customStyle="1">
    <w:name w:val="List Table 1 Light - Accent 1"/>
    <w:basedOn w:val="14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6" w:customStyle="1">
    <w:name w:val="List Table 1 Light - Accent 2"/>
    <w:basedOn w:val="14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7" w:customStyle="1">
    <w:name w:val="List Table 1 Light - Accent 3"/>
    <w:basedOn w:val="14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8" w:customStyle="1">
    <w:name w:val="List Table 1 Light - Accent 4"/>
    <w:basedOn w:val="14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9" w:customStyle="1">
    <w:name w:val="List Table 1 Light - Accent 5"/>
    <w:basedOn w:val="14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70" w:customStyle="1">
    <w:name w:val="List Table 1 Light - Accent 6"/>
    <w:basedOn w:val="14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71">
    <w:name w:val="List Table 2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572" w:customStyle="1">
    <w:name w:val="List Table 2 - Accent 1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573" w:customStyle="1">
    <w:name w:val="List Table 2 - Accent 2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574" w:customStyle="1">
    <w:name w:val="List Table 2 - Accent 3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575" w:customStyle="1">
    <w:name w:val="List Table 2 - Accent 4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576" w:customStyle="1">
    <w:name w:val="List Table 2 - Accent 5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577" w:customStyle="1">
    <w:name w:val="List Table 2 - Accent 6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578">
    <w:name w:val="List Table 3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9" w:customStyle="1">
    <w:name w:val="List Table 3 - Accent 1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80" w:customStyle="1">
    <w:name w:val="List Table 3 - Accent 2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81" w:customStyle="1">
    <w:name w:val="List Table 3 - Accent 3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82" w:customStyle="1">
    <w:name w:val="List Table 3 - Accent 4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83" w:customStyle="1">
    <w:name w:val="List Table 3 - Accent 5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84" w:customStyle="1">
    <w:name w:val="List Table 3 - Accent 6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85">
    <w:name w:val="List Table 4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86" w:customStyle="1">
    <w:name w:val="List Table 4 - Accent 1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87" w:customStyle="1">
    <w:name w:val="List Table 4 - Accent 2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88" w:customStyle="1">
    <w:name w:val="List Table 4 - Accent 3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89" w:customStyle="1">
    <w:name w:val="List Table 4 - Accent 4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90" w:customStyle="1">
    <w:name w:val="List Table 4 - Accent 5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91" w:customStyle="1">
    <w:name w:val="List Table 4 - Accent 6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92">
    <w:name w:val="List Table 5 Dark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593" w:customStyle="1">
    <w:name w:val="List Table 5 Dark - Accent 1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594" w:customStyle="1">
    <w:name w:val="List Table 5 Dark - Accent 2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595" w:customStyle="1">
    <w:name w:val="List Table 5 Dark - Accent 3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596" w:customStyle="1">
    <w:name w:val="List Table 5 Dark - Accent 4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597" w:customStyle="1">
    <w:name w:val="List Table 5 Dark - Accent 5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598" w:customStyle="1">
    <w:name w:val="List Table 5 Dark - Accent 6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599">
    <w:name w:val="List Table 6 Colorful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600" w:customStyle="1">
    <w:name w:val="List Table 6 Colorful - Accent 1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601" w:customStyle="1">
    <w:name w:val="List Table 6 Colorful - Accent 2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602" w:customStyle="1">
    <w:name w:val="List Table 6 Colorful - Accent 3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603" w:customStyle="1">
    <w:name w:val="List Table 6 Colorful - Accent 4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604" w:customStyle="1">
    <w:name w:val="List Table 6 Colorful - Accent 5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605" w:customStyle="1">
    <w:name w:val="List Table 6 Colorful - Accent 6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606">
    <w:name w:val="List Table 7 Colorful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607" w:customStyle="1">
    <w:name w:val="List Table 7 Colorful - Accent 1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608" w:customStyle="1">
    <w:name w:val="List Table 7 Colorful - Accent 2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609" w:customStyle="1">
    <w:name w:val="List Table 7 Colorful - Accent 3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610" w:customStyle="1">
    <w:name w:val="List Table 7 Colorful - Accent 4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611" w:customStyle="1">
    <w:name w:val="List Table 7 Colorful - Accent 5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612" w:customStyle="1">
    <w:name w:val="List Table 7 Colorful - Accent 6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613" w:customStyle="1">
    <w:name w:val="Lined - Accent"/>
    <w:basedOn w:val="146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614" w:customStyle="1">
    <w:name w:val="Lined - Accent 1"/>
    <w:basedOn w:val="146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615" w:customStyle="1">
    <w:name w:val="Lined - Accent 2"/>
    <w:basedOn w:val="146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616" w:customStyle="1">
    <w:name w:val="Lined - Accent 3"/>
    <w:basedOn w:val="146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617" w:customStyle="1">
    <w:name w:val="Lined - Accent 4"/>
    <w:basedOn w:val="146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618" w:customStyle="1">
    <w:name w:val="Lined - Accent 5"/>
    <w:basedOn w:val="146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619" w:customStyle="1">
    <w:name w:val="Lined - Accent 6"/>
    <w:basedOn w:val="146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620" w:customStyle="1">
    <w:name w:val="Bordered &amp; Lined - Accent"/>
    <w:basedOn w:val="146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621" w:customStyle="1">
    <w:name w:val="Bordered &amp; Lined - Accent 1"/>
    <w:basedOn w:val="146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622" w:customStyle="1">
    <w:name w:val="Bordered &amp; Lined - Accent 2"/>
    <w:basedOn w:val="146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623" w:customStyle="1">
    <w:name w:val="Bordered &amp; Lined - Accent 3"/>
    <w:basedOn w:val="146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624" w:customStyle="1">
    <w:name w:val="Bordered &amp; Lined - Accent 4"/>
    <w:basedOn w:val="146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625" w:customStyle="1">
    <w:name w:val="Bordered &amp; Lined - Accent 5"/>
    <w:basedOn w:val="146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626" w:customStyle="1">
    <w:name w:val="Bordered &amp; Lined - Accent 6"/>
    <w:basedOn w:val="146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627" w:customStyle="1">
    <w:name w:val="Bordered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628" w:customStyle="1">
    <w:name w:val="Bordered - Accent 1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629" w:customStyle="1">
    <w:name w:val="Bordered - Accent 2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630" w:customStyle="1">
    <w:name w:val="Bordered - Accent 3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631" w:customStyle="1">
    <w:name w:val="Bordered - Accent 4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632" w:customStyle="1">
    <w:name w:val="Bordered - Accent 5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633" w:customStyle="1">
    <w:name w:val="Bordered - Accent 6"/>
    <w:basedOn w:val="14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634">
    <w:name w:val="Hyperlink"/>
    <w:uiPriority w:val="99"/>
    <w:unhideWhenUsed/>
    <w:rPr>
      <w:color w:val="0563c1" w:themeColor="hyperlink"/>
      <w:u w:val="single"/>
    </w:rPr>
  </w:style>
  <w:style w:type="paragraph" w:styleId="1635">
    <w:name w:val="footnote text"/>
    <w:basedOn w:val="1452"/>
    <w:link w:val="1636"/>
    <w:uiPriority w:val="99"/>
    <w:semiHidden/>
    <w:unhideWhenUsed/>
    <w:pPr>
      <w:spacing w:after="40" w:line="240" w:lineRule="auto"/>
    </w:pPr>
    <w:rPr>
      <w:sz w:val="18"/>
    </w:rPr>
  </w:style>
  <w:style w:type="character" w:styleId="1636" w:customStyle="1">
    <w:name w:val="Текст сноски Знак"/>
    <w:link w:val="1635"/>
    <w:uiPriority w:val="99"/>
    <w:rPr>
      <w:sz w:val="18"/>
    </w:rPr>
  </w:style>
  <w:style w:type="character" w:styleId="1637">
    <w:name w:val="footnote reference"/>
    <w:basedOn w:val="1462"/>
    <w:uiPriority w:val="99"/>
    <w:unhideWhenUsed/>
    <w:rPr>
      <w:vertAlign w:val="superscript"/>
    </w:rPr>
  </w:style>
  <w:style w:type="paragraph" w:styleId="1638">
    <w:name w:val="endnote text"/>
    <w:basedOn w:val="1452"/>
    <w:link w:val="1639"/>
    <w:uiPriority w:val="99"/>
    <w:semiHidden/>
    <w:unhideWhenUsed/>
    <w:pPr>
      <w:spacing w:after="0" w:line="240" w:lineRule="auto"/>
    </w:pPr>
    <w:rPr>
      <w:sz w:val="20"/>
    </w:rPr>
  </w:style>
  <w:style w:type="character" w:styleId="1639" w:customStyle="1">
    <w:name w:val="Текст концевой сноски Знак"/>
    <w:link w:val="1638"/>
    <w:uiPriority w:val="99"/>
    <w:rPr>
      <w:sz w:val="20"/>
    </w:rPr>
  </w:style>
  <w:style w:type="character" w:styleId="1640">
    <w:name w:val="endnote reference"/>
    <w:basedOn w:val="1462"/>
    <w:uiPriority w:val="99"/>
    <w:semiHidden/>
    <w:unhideWhenUsed/>
    <w:rPr>
      <w:vertAlign w:val="superscript"/>
    </w:rPr>
  </w:style>
  <w:style w:type="paragraph" w:styleId="1641">
    <w:name w:val="toc 1"/>
    <w:basedOn w:val="1452"/>
    <w:next w:val="1452"/>
    <w:uiPriority w:val="39"/>
    <w:unhideWhenUsed/>
    <w:pPr>
      <w:spacing w:after="57"/>
    </w:pPr>
  </w:style>
  <w:style w:type="paragraph" w:styleId="1642">
    <w:name w:val="toc 2"/>
    <w:basedOn w:val="1452"/>
    <w:next w:val="1452"/>
    <w:uiPriority w:val="39"/>
    <w:unhideWhenUsed/>
    <w:pPr>
      <w:ind w:left="283"/>
      <w:spacing w:after="57"/>
    </w:pPr>
  </w:style>
  <w:style w:type="paragraph" w:styleId="1643">
    <w:name w:val="toc 3"/>
    <w:basedOn w:val="1452"/>
    <w:next w:val="1452"/>
    <w:uiPriority w:val="39"/>
    <w:unhideWhenUsed/>
    <w:pPr>
      <w:ind w:left="567"/>
      <w:spacing w:after="57"/>
    </w:pPr>
  </w:style>
  <w:style w:type="paragraph" w:styleId="1644">
    <w:name w:val="toc 4"/>
    <w:basedOn w:val="1452"/>
    <w:next w:val="1452"/>
    <w:uiPriority w:val="39"/>
    <w:unhideWhenUsed/>
    <w:pPr>
      <w:ind w:left="850"/>
      <w:spacing w:after="57"/>
    </w:pPr>
  </w:style>
  <w:style w:type="paragraph" w:styleId="1645">
    <w:name w:val="toc 5"/>
    <w:basedOn w:val="1452"/>
    <w:next w:val="1452"/>
    <w:uiPriority w:val="39"/>
    <w:unhideWhenUsed/>
    <w:pPr>
      <w:ind w:left="1134"/>
      <w:spacing w:after="57"/>
    </w:pPr>
  </w:style>
  <w:style w:type="paragraph" w:styleId="1646">
    <w:name w:val="toc 6"/>
    <w:basedOn w:val="1452"/>
    <w:next w:val="1452"/>
    <w:uiPriority w:val="39"/>
    <w:unhideWhenUsed/>
    <w:pPr>
      <w:ind w:left="1417"/>
      <w:spacing w:after="57"/>
    </w:pPr>
  </w:style>
  <w:style w:type="paragraph" w:styleId="1647">
    <w:name w:val="toc 7"/>
    <w:basedOn w:val="1452"/>
    <w:next w:val="1452"/>
    <w:uiPriority w:val="39"/>
    <w:unhideWhenUsed/>
    <w:pPr>
      <w:ind w:left="1701"/>
      <w:spacing w:after="57"/>
    </w:pPr>
  </w:style>
  <w:style w:type="paragraph" w:styleId="1648">
    <w:name w:val="toc 8"/>
    <w:basedOn w:val="1452"/>
    <w:next w:val="1452"/>
    <w:uiPriority w:val="39"/>
    <w:unhideWhenUsed/>
    <w:pPr>
      <w:ind w:left="1984"/>
      <w:spacing w:after="57"/>
    </w:pPr>
  </w:style>
  <w:style w:type="paragraph" w:styleId="1649">
    <w:name w:val="toc 9"/>
    <w:basedOn w:val="1452"/>
    <w:next w:val="1452"/>
    <w:uiPriority w:val="39"/>
    <w:unhideWhenUsed/>
    <w:pPr>
      <w:ind w:left="2268"/>
      <w:spacing w:after="57"/>
    </w:pPr>
  </w:style>
  <w:style w:type="paragraph" w:styleId="1650">
    <w:name w:val="TOC Heading"/>
    <w:uiPriority w:val="39"/>
    <w:unhideWhenUsed/>
  </w:style>
  <w:style w:type="paragraph" w:styleId="1651">
    <w:name w:val="table of figures"/>
    <w:basedOn w:val="1452"/>
    <w:next w:val="1452"/>
    <w:uiPriority w:val="99"/>
    <w:unhideWhenUsed/>
    <w:pPr>
      <w:spacing w:after="0"/>
    </w:pPr>
  </w:style>
  <w:style w:type="character" w:styleId="1652">
    <w:name w:val="Placeholder Text"/>
    <w:basedOn w:val="1462"/>
    <w:uiPriority w:val="99"/>
    <w:semiHidden/>
    <w:rPr>
      <w:color w:val="808080"/>
    </w:rPr>
  </w:style>
</w:styles>
</file>

<file path=word/glossary/webSettings.xml><?xml version="1.0" encoding="utf-8"?>
<w:webSettings xmlns:w="http://schemas.openxmlformats.org/wordprocessingml/2006/main">
  <w:optimizeForBrowser/>
</w:webSetting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Организация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Литовская Татьяна Викторовна</dc:creator>
  <cp:keywords/>
  <dc:description/>
  <cp:lastModifiedBy>roy_oe</cp:lastModifiedBy>
  <cp:revision>148</cp:revision>
  <dcterms:created xsi:type="dcterms:W3CDTF">2021-01-21T06:44:00Z</dcterms:created>
  <dcterms:modified xsi:type="dcterms:W3CDTF">2026-07-17T01:27:56Z</dcterms:modified>
</cp:coreProperties>
</file>